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EE454C7"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B706CD">
        <w:rPr>
          <w:bCs/>
          <w:noProof w:val="0"/>
          <w:sz w:val="24"/>
          <w:szCs w:val="24"/>
        </w:rPr>
        <w:t>105</w:t>
      </w:r>
      <w:r w:rsidR="006C5781">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981C9C">
        <w:rPr>
          <w:bCs/>
          <w:noProof w:val="0"/>
          <w:sz w:val="24"/>
          <w:szCs w:val="24"/>
        </w:rPr>
        <w:t>1904289</w:t>
      </w:r>
    </w:p>
    <w:p w14:paraId="231362B2" w14:textId="4FBDC955" w:rsidR="00CD4C7B" w:rsidRPr="00B266B0" w:rsidRDefault="00F25CB5" w:rsidP="00CD4C7B">
      <w:pPr>
        <w:pStyle w:val="Header"/>
        <w:tabs>
          <w:tab w:val="right" w:pos="9639"/>
        </w:tabs>
        <w:rPr>
          <w:bCs/>
          <w:noProof w:val="0"/>
          <w:sz w:val="24"/>
          <w:szCs w:val="24"/>
        </w:rPr>
      </w:pPr>
      <w:r w:rsidRPr="00F25CB5">
        <w:rPr>
          <w:rFonts w:eastAsia="SimSun"/>
          <w:noProof w:val="0"/>
          <w:sz w:val="24"/>
          <w:szCs w:val="24"/>
          <w:lang w:eastAsia="zh-CN"/>
        </w:rPr>
        <w:t>Xi'an</w:t>
      </w:r>
      <w:r w:rsidR="008F396F" w:rsidRPr="008F396F">
        <w:rPr>
          <w:rFonts w:eastAsia="SimSun"/>
          <w:noProof w:val="0"/>
          <w:sz w:val="24"/>
          <w:szCs w:val="24"/>
          <w:lang w:eastAsia="zh-CN"/>
        </w:rPr>
        <w:t xml:space="preserve">, </w:t>
      </w:r>
      <w:r>
        <w:rPr>
          <w:rFonts w:eastAsia="SimSun"/>
          <w:noProof w:val="0"/>
          <w:sz w:val="24"/>
          <w:szCs w:val="24"/>
          <w:lang w:eastAsia="zh-CN"/>
        </w:rPr>
        <w:t>China</w:t>
      </w:r>
      <w:r w:rsidR="008F396F" w:rsidRPr="008F396F">
        <w:rPr>
          <w:rFonts w:eastAsia="SimSun"/>
          <w:noProof w:val="0"/>
          <w:sz w:val="24"/>
          <w:szCs w:val="24"/>
          <w:lang w:eastAsia="zh-CN"/>
        </w:rPr>
        <w:t xml:space="preserve">, </w:t>
      </w:r>
      <w:r w:rsidR="00A151C0">
        <w:rPr>
          <w:rFonts w:eastAsia="SimSun"/>
          <w:noProof w:val="0"/>
          <w:sz w:val="24"/>
          <w:szCs w:val="24"/>
          <w:lang w:eastAsia="zh-CN"/>
        </w:rPr>
        <w:t xml:space="preserve">08 </w:t>
      </w:r>
      <w:r w:rsidR="00B706CD">
        <w:rPr>
          <w:rFonts w:eastAsia="SimSun"/>
          <w:noProof w:val="0"/>
          <w:sz w:val="24"/>
          <w:szCs w:val="24"/>
          <w:lang w:eastAsia="zh-CN"/>
        </w:rPr>
        <w:t>–</w:t>
      </w:r>
      <w:r w:rsidR="008F396F" w:rsidRPr="008F396F">
        <w:rPr>
          <w:rFonts w:eastAsia="SimSun"/>
          <w:noProof w:val="0"/>
          <w:sz w:val="24"/>
          <w:szCs w:val="24"/>
          <w:lang w:eastAsia="zh-CN"/>
        </w:rPr>
        <w:t xml:space="preserve"> </w:t>
      </w:r>
      <w:r w:rsidR="00A613BA">
        <w:rPr>
          <w:rFonts w:eastAsia="SimSun"/>
          <w:noProof w:val="0"/>
          <w:sz w:val="24"/>
          <w:szCs w:val="24"/>
          <w:lang w:eastAsia="zh-CN"/>
        </w:rPr>
        <w:t>12 April</w:t>
      </w:r>
      <w:r w:rsidR="008F396F" w:rsidRPr="008F396F">
        <w:rPr>
          <w:rFonts w:eastAsia="SimSun"/>
          <w:noProof w:val="0"/>
          <w:sz w:val="24"/>
          <w:szCs w:val="24"/>
          <w:lang w:eastAsia="zh-CN"/>
        </w:rPr>
        <w:t xml:space="preserve"> </w:t>
      </w:r>
      <w:r w:rsidR="00B706CD" w:rsidRPr="008F396F">
        <w:rPr>
          <w:rFonts w:eastAsia="SimSun"/>
          <w:noProof w:val="0"/>
          <w:sz w:val="24"/>
          <w:szCs w:val="24"/>
          <w:lang w:eastAsia="zh-CN"/>
        </w:rPr>
        <w:t>201</w:t>
      </w:r>
      <w:r w:rsidR="00B706CD">
        <w:rPr>
          <w:rFonts w:eastAsia="SimSun"/>
          <w:noProof w:val="0"/>
          <w:sz w:val="24"/>
          <w:szCs w:val="24"/>
          <w:lang w:eastAsia="zh-CN"/>
        </w:rPr>
        <w:t>9</w:t>
      </w:r>
      <w:r w:rsidR="00364B41">
        <w:rPr>
          <w:rFonts w:eastAsia="SimSun"/>
          <w:noProof w:val="0"/>
          <w:sz w:val="24"/>
          <w:szCs w:val="24"/>
          <w:lang w:eastAsia="zh-CN"/>
        </w:rPr>
        <w:tab/>
      </w:r>
      <w:r w:rsidR="0013023F" w:rsidRPr="00981C9C">
        <w:rPr>
          <w:rFonts w:eastAsia="SimSun"/>
          <w:noProof w:val="0"/>
          <w:sz w:val="16"/>
          <w:szCs w:val="16"/>
          <w:lang w:eastAsia="zh-CN"/>
        </w:rPr>
        <w:t>revision</w:t>
      </w:r>
      <w:bookmarkStart w:id="0" w:name="_GoBack"/>
      <w:bookmarkEnd w:id="0"/>
      <w:r w:rsidR="0013023F" w:rsidRPr="00981C9C">
        <w:rPr>
          <w:rFonts w:eastAsia="SimSun"/>
          <w:noProof w:val="0"/>
          <w:sz w:val="16"/>
          <w:szCs w:val="16"/>
          <w:lang w:eastAsia="zh-CN"/>
        </w:rPr>
        <w:t xml:space="preserve"> of R2-1900611</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EBAEF4A" w:rsidR="00CD4C7B" w:rsidRPr="00EF31F5" w:rsidRDefault="00CD4C7B">
      <w:pPr>
        <w:pStyle w:val="CRCoverPage"/>
        <w:tabs>
          <w:tab w:val="left" w:pos="1985"/>
        </w:tabs>
        <w:rPr>
          <w:rFonts w:cs="Arial"/>
          <w:b/>
          <w:bCs/>
          <w:sz w:val="24"/>
          <w:szCs w:val="24"/>
          <w:lang w:eastAsia="ja-JP"/>
        </w:rPr>
      </w:pPr>
      <w:r w:rsidRPr="003B2A2A">
        <w:rPr>
          <w:rFonts w:cs="Arial"/>
          <w:b/>
          <w:bCs/>
          <w:sz w:val="24"/>
          <w:szCs w:val="24"/>
        </w:rPr>
        <w:t>Agenda item:</w:t>
      </w:r>
      <w:r>
        <w:rPr>
          <w:rFonts w:cs="Arial"/>
          <w:b/>
          <w:bCs/>
          <w:sz w:val="24"/>
        </w:rPr>
        <w:tab/>
      </w:r>
      <w:r w:rsidR="0013023F">
        <w:rPr>
          <w:rFonts w:cs="Arial"/>
          <w:b/>
          <w:bCs/>
          <w:sz w:val="24"/>
        </w:rPr>
        <w:t>11.9.3</w:t>
      </w:r>
      <w:r w:rsidR="00501AB5" w:rsidRPr="00501AB5" w:rsidDel="00501AB5">
        <w:rPr>
          <w:rFonts w:cs="Arial"/>
          <w:b/>
          <w:bCs/>
          <w:sz w:val="24"/>
        </w:rPr>
        <w:t xml:space="preserve"> </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47A9F3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34E6">
        <w:rPr>
          <w:rFonts w:ascii="Arial" w:hAnsi="Arial" w:cs="Arial"/>
          <w:b/>
          <w:bCs/>
          <w:sz w:val="24"/>
        </w:rPr>
        <w:t xml:space="preserve">Considerations for </w:t>
      </w:r>
      <w:r w:rsidR="009A4FB7">
        <w:rPr>
          <w:rFonts w:ascii="Arial" w:hAnsi="Arial" w:cs="Arial"/>
          <w:b/>
          <w:bCs/>
          <w:sz w:val="24"/>
        </w:rPr>
        <w:t xml:space="preserve">failure </w:t>
      </w:r>
      <w:r w:rsidR="001434E6">
        <w:rPr>
          <w:rFonts w:ascii="Arial" w:hAnsi="Arial" w:cs="Arial"/>
          <w:b/>
          <w:bCs/>
          <w:sz w:val="24"/>
        </w:rPr>
        <w:t xml:space="preserve">recovery in </w:t>
      </w:r>
      <w:r w:rsidR="00501AB5">
        <w:rPr>
          <w:rFonts w:ascii="Arial" w:hAnsi="Arial" w:cs="Arial"/>
          <w:b/>
          <w:bCs/>
          <w:sz w:val="24"/>
        </w:rPr>
        <w:t>NR</w:t>
      </w:r>
    </w:p>
    <w:p w14:paraId="3AC3A0B1" w14:textId="5A580BC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01AB5" w:rsidRPr="00501AB5">
        <w:rPr>
          <w:rFonts w:ascii="Arial" w:hAnsi="Arial" w:cs="Arial"/>
          <w:b/>
          <w:bCs/>
          <w:sz w:val="24"/>
        </w:rPr>
        <w:t>NR_Mob_Enh</w:t>
      </w:r>
      <w:proofErr w:type="spellEnd"/>
      <w:r w:rsidR="00501AB5" w:rsidRPr="00501AB5">
        <w:rPr>
          <w:rFonts w:ascii="Arial" w:hAnsi="Arial" w:cs="Arial"/>
          <w:b/>
          <w:bCs/>
          <w:sz w:val="24"/>
        </w:rPr>
        <w:t xml:space="preserve">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1D639FB" w14:textId="7EC8520A" w:rsidR="00501AB5" w:rsidRDefault="00501AB5" w:rsidP="00501AB5">
      <w:r>
        <w:t xml:space="preserve">RAN#80 plenary approved a Work Item (WI) titled “NR mobility enhancements” to enhance the basic mobility functions that were introduced in NR </w:t>
      </w:r>
      <w:r w:rsidR="00696DFD">
        <w:t>R</w:t>
      </w:r>
      <w:r>
        <w:t xml:space="preserve">elease-15 </w:t>
      </w:r>
      <w:r>
        <w:fldChar w:fldCharType="begin"/>
      </w:r>
      <w:r>
        <w:instrText xml:space="preserve"> REF _Ref528151056 \r \h </w:instrText>
      </w:r>
      <w:r>
        <w:fldChar w:fldCharType="separate"/>
      </w:r>
      <w:r>
        <w:t>[1]</w:t>
      </w:r>
      <w:r>
        <w:fldChar w:fldCharType="end"/>
      </w:r>
      <w:r>
        <w:t>. One of the objectives of the WI is to:</w:t>
      </w:r>
    </w:p>
    <w:p w14:paraId="527B30E4" w14:textId="77777777" w:rsidR="00501AB5" w:rsidRPr="0063272C" w:rsidRDefault="00501AB5" w:rsidP="00501AB5">
      <w:pPr>
        <w:numPr>
          <w:ilvl w:val="0"/>
          <w:numId w:val="6"/>
        </w:numPr>
        <w:overflowPunct w:val="0"/>
        <w:autoSpaceDE w:val="0"/>
        <w:autoSpaceDN w:val="0"/>
        <w:adjustRightInd w:val="0"/>
        <w:spacing w:afterLines="50" w:after="120"/>
        <w:ind w:left="357" w:right="-96" w:hanging="357"/>
        <w:textAlignment w:val="baseline"/>
        <w:rPr>
          <w:lang w:val="en-US"/>
        </w:rPr>
      </w:pPr>
      <w:r>
        <w:tab/>
      </w:r>
      <w:r w:rsidRPr="00461F90">
        <w:rPr>
          <w:lang w:val="en-US"/>
        </w:rPr>
        <w:t>To study solution(s) to improve HO/SCG change reliability and robustness especially considering challenges in high/med frequency focusing on the following identified solutions but not limited. </w:t>
      </w:r>
      <w:r w:rsidRPr="0063272C">
        <w:rPr>
          <w:lang w:val="en-US"/>
        </w:rPr>
        <w:t> </w:t>
      </w:r>
    </w:p>
    <w:p w14:paraId="5B0F8B72" w14:textId="77777777" w:rsidR="00501AB5" w:rsidRPr="00461F90" w:rsidRDefault="00501AB5" w:rsidP="00501AB5">
      <w:pPr>
        <w:numPr>
          <w:ilvl w:val="1"/>
          <w:numId w:val="6"/>
        </w:numPr>
        <w:overflowPunct w:val="0"/>
        <w:autoSpaceDE w:val="0"/>
        <w:autoSpaceDN w:val="0"/>
        <w:adjustRightInd w:val="0"/>
        <w:spacing w:afterLines="50" w:after="120"/>
        <w:ind w:right="-96"/>
        <w:textAlignment w:val="baseline"/>
        <w:rPr>
          <w:lang w:val="fi-FI"/>
        </w:rPr>
      </w:pPr>
      <w:r w:rsidRPr="00461F90">
        <w:t>Conditional handover </w:t>
      </w:r>
      <w:r w:rsidRPr="00461F90">
        <w:rPr>
          <w:lang w:val="fi-FI"/>
        </w:rPr>
        <w:t> </w:t>
      </w:r>
    </w:p>
    <w:p w14:paraId="7E656E79" w14:textId="77777777" w:rsidR="00501AB5" w:rsidRDefault="00501AB5" w:rsidP="00501AB5">
      <w:pPr>
        <w:numPr>
          <w:ilvl w:val="1"/>
          <w:numId w:val="6"/>
        </w:numPr>
        <w:overflowPunct w:val="0"/>
        <w:autoSpaceDE w:val="0"/>
        <w:autoSpaceDN w:val="0"/>
        <w:adjustRightInd w:val="0"/>
        <w:spacing w:afterLines="50" w:after="120"/>
        <w:ind w:right="-96"/>
        <w:textAlignment w:val="baseline"/>
        <w:rPr>
          <w:lang w:val="en-US" w:eastAsia="zh-CN"/>
        </w:rPr>
      </w:pPr>
      <w:r w:rsidRPr="00461F90">
        <w:t>Fast handover failure recovery </w:t>
      </w:r>
    </w:p>
    <w:p w14:paraId="144C24E6" w14:textId="73DC1565" w:rsidR="00501AB5" w:rsidRPr="006E13D1" w:rsidRDefault="00501AB5" w:rsidP="00501AB5">
      <w:r>
        <w:rPr>
          <w:lang w:val="en-US"/>
        </w:rPr>
        <w:t>Having optimizations that minimize the number of handover and radio link failures should be given the highest priority. However, such failures cannot be avoided for all UE speeds and use cases. As such, it is also important to optimize failure recovery to minimize user data interruption time</w:t>
      </w:r>
      <w:r w:rsidR="00696DFD">
        <w:rPr>
          <w:lang w:val="en-US"/>
        </w:rPr>
        <w:t>, in case the failure already occurred</w:t>
      </w:r>
      <w:r>
        <w:rPr>
          <w:lang w:val="en-US"/>
        </w:rPr>
        <w:t>.</w:t>
      </w:r>
    </w:p>
    <w:p w14:paraId="149478D5" w14:textId="0D2B6EE9" w:rsidR="006B376D" w:rsidRDefault="006B376D" w:rsidP="006B376D">
      <w:pPr>
        <w:pStyle w:val="Heading1"/>
      </w:pPr>
      <w:r w:rsidRPr="006E13D1">
        <w:t>2</w:t>
      </w:r>
      <w:r w:rsidRPr="006E13D1">
        <w:tab/>
      </w:r>
      <w:r w:rsidR="00535E22">
        <w:t>Overview of f</w:t>
      </w:r>
      <w:r>
        <w:t>ailure recovery mechanisms</w:t>
      </w:r>
    </w:p>
    <w:p w14:paraId="564A9611" w14:textId="792D72F0" w:rsidR="00535E22" w:rsidRDefault="00535E22" w:rsidP="00535E22">
      <w:r>
        <w:t xml:space="preserve">In </w:t>
      </w:r>
      <w:r w:rsidR="00A84E0E">
        <w:fldChar w:fldCharType="begin"/>
      </w:r>
      <w:r w:rsidR="00A84E0E">
        <w:instrText xml:space="preserve"> REF _Ref4535960 \r \h </w:instrText>
      </w:r>
      <w:r w:rsidR="00A84E0E">
        <w:fldChar w:fldCharType="separate"/>
      </w:r>
      <w:r w:rsidR="00A84E0E">
        <w:t>[2]</w:t>
      </w:r>
      <w:r w:rsidR="00A84E0E">
        <w:fldChar w:fldCharType="end"/>
      </w:r>
      <w:r>
        <w:t xml:space="preserve">, we discussed factors that affect failure recovery latency and potential mechanisms to minimize the latency. These discussions focus on failure due to strong interference, which occurs in cell boundaries and is </w:t>
      </w:r>
      <w:r w:rsidR="00591FF8">
        <w:t>basically a</w:t>
      </w:r>
      <w:r>
        <w:t xml:space="preserve"> Handover failure if the Radio Link Failure (RLF) is declared while Time to Trigger (TTT) is running. Some of the mechanisms to minimize failure recovery</w:t>
      </w:r>
      <w:r w:rsidR="00EB7AA7">
        <w:t xml:space="preserve"> latency</w:t>
      </w:r>
      <w:r>
        <w:t xml:space="preserve"> are:</w:t>
      </w:r>
    </w:p>
    <w:p w14:paraId="6DCADF4C" w14:textId="0CC2B8B3" w:rsidR="005E5DC6" w:rsidRDefault="005E5DC6" w:rsidP="00535E22">
      <w:pPr>
        <w:pStyle w:val="ListParagraph"/>
        <w:numPr>
          <w:ilvl w:val="0"/>
          <w:numId w:val="7"/>
        </w:numPr>
      </w:pPr>
      <w:r>
        <w:t>Early activation of SRB1 during RRC Reestablishment procedure</w:t>
      </w:r>
      <w:r w:rsidR="004D06EC">
        <w:t xml:space="preserve"> </w:t>
      </w:r>
      <w:r w:rsidR="00C32400">
        <w:fldChar w:fldCharType="begin"/>
      </w:r>
      <w:r w:rsidR="00C32400">
        <w:instrText xml:space="preserve"> REF _Ref528151085 \r \h </w:instrText>
      </w:r>
      <w:r w:rsidR="00C32400">
        <w:fldChar w:fldCharType="separate"/>
      </w:r>
      <w:r w:rsidR="00C32400">
        <w:t>[3]</w:t>
      </w:r>
      <w:r w:rsidR="00C32400">
        <w:fldChar w:fldCharType="end"/>
      </w:r>
      <w:r w:rsidR="00C32400">
        <w:fldChar w:fldCharType="begin"/>
      </w:r>
      <w:r w:rsidR="00C32400">
        <w:instrText xml:space="preserve"> REF _Ref528151128 \r \h </w:instrText>
      </w:r>
      <w:r w:rsidR="00C32400">
        <w:fldChar w:fldCharType="separate"/>
      </w:r>
      <w:r w:rsidR="00C32400">
        <w:t>[4]</w:t>
      </w:r>
      <w:r w:rsidR="00C32400">
        <w:fldChar w:fldCharType="end"/>
      </w:r>
      <w:r>
        <w:t xml:space="preserve">. Similar to RRC Resume procedure, SRB1 can be activated early such that the RRC Reestablishment message from the network to the UE can </w:t>
      </w:r>
      <w:r w:rsidR="00EE1B61">
        <w:t xml:space="preserve">be sent using SRB1 during RA message 4. This further implies the RRC Reconfiguration message can also be sent to the UE in RA message 4, either multiplexed with the RRC Reestablishment message or </w:t>
      </w:r>
      <w:r w:rsidR="00591FF8">
        <w:t>separately</w:t>
      </w:r>
      <w:r w:rsidR="00EE1B61">
        <w:t>. This saves a round trip latency of the air interface, compared to activating SRB1 after RRC Reestablishment Complete is received from UE by the network in RA message 5.</w:t>
      </w:r>
      <w:r>
        <w:t xml:space="preserve"> </w:t>
      </w:r>
    </w:p>
    <w:p w14:paraId="4529D597" w14:textId="17DFAE8D" w:rsidR="00EE1B61" w:rsidRDefault="00C74186" w:rsidP="00535E22">
      <w:pPr>
        <w:pStyle w:val="ListParagraph"/>
        <w:numPr>
          <w:ilvl w:val="0"/>
          <w:numId w:val="7"/>
        </w:numPr>
      </w:pPr>
      <w:r>
        <w:t xml:space="preserve">Proactive provisioning of </w:t>
      </w:r>
      <w:r w:rsidR="00003E8F">
        <w:t>S</w:t>
      </w:r>
      <w:r>
        <w:t xml:space="preserve">ystem </w:t>
      </w:r>
      <w:r w:rsidR="00003E8F">
        <w:t>I</w:t>
      </w:r>
      <w:r>
        <w:t>nformation</w:t>
      </w:r>
      <w:r w:rsidR="00003E8F">
        <w:t xml:space="preserve"> (SI)</w:t>
      </w:r>
      <w:r>
        <w:t xml:space="preserve"> of the potential target cells to UE</w:t>
      </w:r>
      <w:r w:rsidR="00332511">
        <w:t xml:space="preserve">. This reduces the failure recovery latency as system information acquisition of the target cell can be done in a shorter time span, for example, compared to accessing the target through a contention based random access procedure. However, blindly providing the system information of all the neighbouring cells of the serving cell to the UE leads to significant wastage of resources such as RACH resources and signalling overhead to acquire the SI of the neighbour cells. Therefore, it is important to provide </w:t>
      </w:r>
      <w:r w:rsidR="00003E8F">
        <w:t>only the SI of a selected set of cells to the UE. Such selection might require optimizations to minimize its impact on the network, for example, with the assistance of MRO.</w:t>
      </w:r>
    </w:p>
    <w:p w14:paraId="4FFBB025" w14:textId="627AF1B8" w:rsidR="00521B5D" w:rsidRPr="006E13D1" w:rsidRDefault="00521B5D" w:rsidP="00521B5D">
      <w:pPr>
        <w:pStyle w:val="ListParagraph"/>
        <w:numPr>
          <w:ilvl w:val="0"/>
          <w:numId w:val="7"/>
        </w:numPr>
      </w:pPr>
      <w:r>
        <w:t xml:space="preserve">Availability of the UE AS context in the target cell for recovery. This reduces the time required to fetch UE context from the source cell. As such, if there are cells that have UE AS context and the UE is aware of them, they should be prioritised over cells with no UE AS context. For example, in conditional handover, the UE is provided with the list of candidate cells which </w:t>
      </w:r>
      <w:r w:rsidR="008F0460">
        <w:t>have</w:t>
      </w:r>
      <w:r>
        <w:t xml:space="preserve"> UE AS context </w:t>
      </w:r>
      <w:r w:rsidR="008F0460">
        <w:t>received during</w:t>
      </w:r>
      <w:r>
        <w:t xml:space="preserve"> HO preparation, and it can prioritise such cells for RRC Reestablishment during recovery from </w:t>
      </w:r>
      <w:r w:rsidR="008F0460">
        <w:t xml:space="preserve">a </w:t>
      </w:r>
      <w:r>
        <w:t>failure.</w:t>
      </w:r>
    </w:p>
    <w:p w14:paraId="5A1125AA" w14:textId="05F2C48B" w:rsidR="00FB10D6" w:rsidRDefault="00513011" w:rsidP="006D41FA">
      <w:pPr>
        <w:pStyle w:val="ListParagraph"/>
        <w:numPr>
          <w:ilvl w:val="0"/>
          <w:numId w:val="7"/>
        </w:numPr>
      </w:pPr>
      <w:r>
        <w:t xml:space="preserve">Early RLF/HOF declaration to quickly initiate RRC Reestablishment procedure. This is important in situations where the link to the source cell is poor and there is </w:t>
      </w:r>
      <w:r w:rsidR="008F0460">
        <w:t xml:space="preserve">also </w:t>
      </w:r>
      <w:r>
        <w:t>a target cell for recovery with good signal quality. In fact, timer T312 is introduced for this purpose</w:t>
      </w:r>
      <w:r w:rsidR="00C32400">
        <w:t xml:space="preserve"> in LTE </w:t>
      </w:r>
      <w:r w:rsidR="00C32400">
        <w:fldChar w:fldCharType="begin"/>
      </w:r>
      <w:r w:rsidR="00C32400">
        <w:instrText xml:space="preserve"> REF _Ref4586328 \r \h </w:instrText>
      </w:r>
      <w:r w:rsidR="00C32400">
        <w:fldChar w:fldCharType="separate"/>
      </w:r>
      <w:r w:rsidR="00C32400">
        <w:t>[5]</w:t>
      </w:r>
      <w:r w:rsidR="00C32400">
        <w:fldChar w:fldCharType="end"/>
      </w:r>
      <w:r w:rsidR="00C32400">
        <w:t>, which would important to adopt it in NR as well</w:t>
      </w:r>
      <w:r>
        <w:t xml:space="preserve">, where it is started if a measurement report is triggered for measurement identity for which T312 is configured </w:t>
      </w:r>
      <w:r>
        <w:lastRenderedPageBreak/>
        <w:t>(i.e. there is a</w:t>
      </w:r>
      <w:r w:rsidR="00064569">
        <w:t>t a</w:t>
      </w:r>
      <w:r>
        <w:t xml:space="preserve"> target cell with good cell quality)</w:t>
      </w:r>
      <w:r w:rsidR="00064569">
        <w:t xml:space="preserve"> while T310 is running (i.e. the radio link to the source cell is poor). However, T312 may still need further enhancements as it will be discussed in the next section.</w:t>
      </w:r>
    </w:p>
    <w:p w14:paraId="1E5A7742" w14:textId="2BE37F9D" w:rsidR="00EB7AA7" w:rsidRDefault="00EB7AA7" w:rsidP="00EB7AA7">
      <w:pPr>
        <w:jc w:val="both"/>
        <w:rPr>
          <w:bCs/>
        </w:rPr>
      </w:pPr>
      <w:r w:rsidRPr="006D41FA">
        <w:rPr>
          <w:bCs/>
        </w:rPr>
        <w:t>Considering the above discussions</w:t>
      </w:r>
      <w:r>
        <w:rPr>
          <w:bCs/>
        </w:rPr>
        <w:t xml:space="preserve"> on different mechanisms to minimize failure recovery latency,</w:t>
      </w:r>
      <w:r w:rsidRPr="006D41FA">
        <w:rPr>
          <w:bCs/>
        </w:rPr>
        <w:t xml:space="preserve"> the following </w:t>
      </w:r>
      <w:r>
        <w:rPr>
          <w:bCs/>
        </w:rPr>
        <w:t xml:space="preserve">observations and </w:t>
      </w:r>
      <w:r w:rsidRPr="006D41FA">
        <w:rPr>
          <w:bCs/>
        </w:rPr>
        <w:t>proposals are made:</w:t>
      </w:r>
    </w:p>
    <w:p w14:paraId="1532B3C9" w14:textId="77777777" w:rsidR="00165ECC" w:rsidRPr="0063272C" w:rsidRDefault="00165ECC" w:rsidP="00165ECC">
      <w:pPr>
        <w:jc w:val="both"/>
        <w:rPr>
          <w:bCs/>
        </w:rPr>
      </w:pPr>
      <w:r w:rsidRPr="00E776FC">
        <w:rPr>
          <w:b/>
          <w:bCs/>
        </w:rPr>
        <w:t>Observation</w:t>
      </w:r>
      <w:r>
        <w:rPr>
          <w:b/>
          <w:bCs/>
        </w:rPr>
        <w:t xml:space="preserve"> 1</w:t>
      </w:r>
      <w:r w:rsidRPr="003B2A2A">
        <w:rPr>
          <w:b/>
          <w:bCs/>
        </w:rPr>
        <w:t>:</w:t>
      </w:r>
      <w:r>
        <w:t xml:space="preserve"> Enhancement for early activation of SRB1 is beneficial to speed up failure recovery.</w:t>
      </w:r>
    </w:p>
    <w:p w14:paraId="38D5E760" w14:textId="75559486" w:rsidR="00EB7AA7" w:rsidRPr="006E13D1" w:rsidRDefault="00EB7AA7" w:rsidP="00EB7AA7">
      <w:pPr>
        <w:jc w:val="both"/>
      </w:pPr>
      <w:r w:rsidRPr="00BE031B">
        <w:rPr>
          <w:b/>
          <w:bCs/>
        </w:rPr>
        <w:t>Proposal</w:t>
      </w:r>
      <w:r>
        <w:rPr>
          <w:b/>
          <w:bCs/>
        </w:rPr>
        <w:t xml:space="preserve"> </w:t>
      </w:r>
      <w:r w:rsidR="00C32400">
        <w:rPr>
          <w:b/>
          <w:bCs/>
        </w:rPr>
        <w:t>1</w:t>
      </w:r>
      <w:r>
        <w:t>: The network may provide SI of potential target cells for failure recovery to reduce failure recovery latency. However, optimizations to minimize its impact on the network, for example with the assistance of MRO, should be considered.</w:t>
      </w:r>
    </w:p>
    <w:p w14:paraId="211B3873" w14:textId="6F2FC94B" w:rsidR="00EB7AA7" w:rsidRDefault="00EB7AA7" w:rsidP="00FB10D6">
      <w:r w:rsidRPr="00471F31">
        <w:rPr>
          <w:b/>
        </w:rPr>
        <w:t xml:space="preserve">Proposal </w:t>
      </w:r>
      <w:r w:rsidR="00C32400">
        <w:rPr>
          <w:b/>
        </w:rPr>
        <w:t>2</w:t>
      </w:r>
      <w:r w:rsidRPr="00471F31">
        <w:rPr>
          <w:b/>
        </w:rPr>
        <w:t>:</w:t>
      </w:r>
      <w:r>
        <w:t xml:space="preserve"> UE should prioritise re-establishment towards cells with proactively prepared UE AS context. </w:t>
      </w:r>
      <w:r w:rsidR="00384916">
        <w:t xml:space="preserve">It is </w:t>
      </w:r>
      <w:r w:rsidR="009F28C8">
        <w:t>FFS if differe</w:t>
      </w:r>
      <w:r>
        <w:t>nt T312 timer values can be used for different cells to prioritise and speed up re-establishment towards cells with UE context.</w:t>
      </w:r>
    </w:p>
    <w:p w14:paraId="48649F98" w14:textId="2E3B98E6" w:rsidR="00AA2C76" w:rsidRDefault="00AA2C76" w:rsidP="00AA2C76">
      <w:pPr>
        <w:pStyle w:val="Heading1"/>
      </w:pPr>
      <w:r>
        <w:t>3</w:t>
      </w:r>
      <w:r w:rsidRPr="006E13D1">
        <w:tab/>
      </w:r>
      <w:r>
        <w:t>Timer T312 enhancement</w:t>
      </w:r>
      <w:r w:rsidR="003A0C6C">
        <w:t>s</w:t>
      </w:r>
    </w:p>
    <w:p w14:paraId="5CDB534D" w14:textId="35472454" w:rsidR="00AA2C76" w:rsidRDefault="00C05E54" w:rsidP="00AA2C76">
      <w:r>
        <w:t xml:space="preserve">The timer T312 is introduced </w:t>
      </w:r>
      <w:r w:rsidR="00CC694B">
        <w:t xml:space="preserve">in LTE </w:t>
      </w:r>
      <w:r>
        <w:t>to enable early RLF declaration, instead of waiting for timer T310 to expire to declare an RLF</w:t>
      </w:r>
      <w:r w:rsidR="00CC694B">
        <w:t xml:space="preserve"> </w:t>
      </w:r>
      <w:r w:rsidR="00CC694B">
        <w:fldChar w:fldCharType="begin"/>
      </w:r>
      <w:r w:rsidR="00CC694B">
        <w:instrText xml:space="preserve"> REF _Ref4586328 \r \h </w:instrText>
      </w:r>
      <w:r w:rsidR="00CC694B">
        <w:fldChar w:fldCharType="separate"/>
      </w:r>
      <w:r w:rsidR="00CC694B">
        <w:t>[5]</w:t>
      </w:r>
      <w:r w:rsidR="00CC694B">
        <w:fldChar w:fldCharType="end"/>
      </w:r>
      <w:r>
        <w:t xml:space="preserve">. </w:t>
      </w:r>
      <w:r w:rsidR="002E48A2">
        <w:t xml:space="preserve">The rationale behind the need for an early declaration of RLF is that if the link to the source cell is poor and there is a target cell with good </w:t>
      </w:r>
      <w:r w:rsidR="00CA58D2">
        <w:t xml:space="preserve">enough </w:t>
      </w:r>
      <w:r w:rsidR="002E48A2">
        <w:t>signal quality</w:t>
      </w:r>
      <w:r w:rsidR="00CA58D2">
        <w:t xml:space="preserve"> to trigger a measurement report</w:t>
      </w:r>
      <w:r w:rsidR="002E48A2">
        <w:t xml:space="preserve">, the link to the source cell is </w:t>
      </w:r>
      <w:r w:rsidR="00CA58D2">
        <w:t>un</w:t>
      </w:r>
      <w:r w:rsidR="002E48A2">
        <w:t>likely to be recover</w:t>
      </w:r>
      <w:r w:rsidR="00CA58D2">
        <w:t>ed</w:t>
      </w:r>
      <w:r w:rsidR="002E48A2">
        <w:t xml:space="preserve"> and the RRC Reestablishment to the target cell is likely to succeed</w:t>
      </w:r>
      <w:r w:rsidR="00F07B11">
        <w:t xml:space="preserve"> </w:t>
      </w:r>
      <w:r w:rsidR="00314AF6">
        <w:fldChar w:fldCharType="begin"/>
      </w:r>
      <w:r w:rsidR="00314AF6">
        <w:instrText xml:space="preserve"> REF _Ref4536128 \r \h </w:instrText>
      </w:r>
      <w:r w:rsidR="00314AF6">
        <w:fldChar w:fldCharType="separate"/>
      </w:r>
      <w:r w:rsidR="00314AF6">
        <w:t>[6]</w:t>
      </w:r>
      <w:r w:rsidR="00314AF6">
        <w:fldChar w:fldCharType="end"/>
      </w:r>
      <w:r w:rsidR="002E48A2">
        <w:t xml:space="preserve">. </w:t>
      </w:r>
      <w:r w:rsidR="00CA58D2">
        <w:t>Therefore, f</w:t>
      </w:r>
      <w:r w:rsidR="00DA3D66">
        <w:t xml:space="preserve">or an early declaration of </w:t>
      </w:r>
      <w:r>
        <w:t>RLF</w:t>
      </w:r>
      <w:r w:rsidR="00DA3D66">
        <w:t>, at least the</w:t>
      </w:r>
      <w:r>
        <w:t xml:space="preserve"> following conditions </w:t>
      </w:r>
      <w:r w:rsidR="00DA3D66">
        <w:t>should be</w:t>
      </w:r>
      <w:r>
        <w:t xml:space="preserve"> fulfilled:</w:t>
      </w:r>
    </w:p>
    <w:p w14:paraId="07C8079B" w14:textId="174A42C0" w:rsidR="00C05E54" w:rsidRDefault="00C05E54" w:rsidP="00C05E54">
      <w:pPr>
        <w:pStyle w:val="ListParagraph"/>
        <w:numPr>
          <w:ilvl w:val="0"/>
          <w:numId w:val="8"/>
        </w:numPr>
      </w:pPr>
      <w:r>
        <w:t>The radio link to the source cell is poor</w:t>
      </w:r>
      <w:r w:rsidR="00DA3D66">
        <w:t xml:space="preserve">. In </w:t>
      </w:r>
      <w:r w:rsidR="00CC694B">
        <w:t xml:space="preserve">LTE </w:t>
      </w:r>
      <w:r w:rsidR="00CC694B">
        <w:fldChar w:fldCharType="begin"/>
      </w:r>
      <w:r w:rsidR="00CC694B">
        <w:instrText xml:space="preserve"> REF _Ref4586328 \r \h </w:instrText>
      </w:r>
      <w:r w:rsidR="00CC694B">
        <w:fldChar w:fldCharType="separate"/>
      </w:r>
      <w:r w:rsidR="00CC694B">
        <w:t>[5]</w:t>
      </w:r>
      <w:r w:rsidR="00CC694B">
        <w:fldChar w:fldCharType="end"/>
      </w:r>
      <w:r w:rsidR="00DA3D66">
        <w:t>, this condition is fulfilled if timer T310 is running, i.e. radio link problem is detected towards the source cell.</w:t>
      </w:r>
    </w:p>
    <w:p w14:paraId="092DE8F0" w14:textId="16EF8702" w:rsidR="00DA3D66" w:rsidRDefault="00CA58D2" w:rsidP="00C05E54">
      <w:pPr>
        <w:pStyle w:val="ListParagraph"/>
        <w:numPr>
          <w:ilvl w:val="0"/>
          <w:numId w:val="8"/>
        </w:numPr>
      </w:pPr>
      <w:r>
        <w:t xml:space="preserve">There is a neighbour cell with good signal quality. In </w:t>
      </w:r>
      <w:r w:rsidR="00CC694B">
        <w:t xml:space="preserve">LTE </w:t>
      </w:r>
      <w:r w:rsidR="00CC694B">
        <w:fldChar w:fldCharType="begin"/>
      </w:r>
      <w:r w:rsidR="00CC694B">
        <w:instrText xml:space="preserve"> REF _Ref4586328 \r \h </w:instrText>
      </w:r>
      <w:r w:rsidR="00CC694B">
        <w:fldChar w:fldCharType="separate"/>
      </w:r>
      <w:r w:rsidR="00CC694B">
        <w:t>[5]</w:t>
      </w:r>
      <w:r w:rsidR="00CC694B">
        <w:fldChar w:fldCharType="end"/>
      </w:r>
      <w:r>
        <w:t xml:space="preserve">, this condition is fulfilled </w:t>
      </w:r>
      <w:r w:rsidR="00F07B11" w:rsidRPr="00F07B11">
        <w:t>upon triggering a measurement report for a measurement identity for which T312 has been configured</w:t>
      </w:r>
      <w:r w:rsidR="00F07B11">
        <w:t>.</w:t>
      </w:r>
    </w:p>
    <w:p w14:paraId="18F88CA9" w14:textId="72CB0A8C" w:rsidR="001A23E6" w:rsidRDefault="00F07B11" w:rsidP="00F07B11">
      <w:r>
        <w:t xml:space="preserve">In </w:t>
      </w:r>
      <w:r w:rsidR="00CC694B">
        <w:t xml:space="preserve">LTE </w:t>
      </w:r>
      <w:r w:rsidR="00CC694B">
        <w:fldChar w:fldCharType="begin"/>
      </w:r>
      <w:r w:rsidR="00CC694B">
        <w:instrText xml:space="preserve"> REF _Ref4586328 \r \h </w:instrText>
      </w:r>
      <w:r w:rsidR="00CC694B">
        <w:fldChar w:fldCharType="separate"/>
      </w:r>
      <w:r w:rsidR="00CC694B">
        <w:t>[5]</w:t>
      </w:r>
      <w:r w:rsidR="00CC694B">
        <w:fldChar w:fldCharType="end"/>
      </w:r>
      <w:r>
        <w:t>, timer T312 is started if condition 2 is fulfilled after condition 1</w:t>
      </w:r>
      <w:r w:rsidR="00023FF3">
        <w:t xml:space="preserve">, see </w:t>
      </w:r>
      <w:r w:rsidR="00631DB5">
        <w:fldChar w:fldCharType="begin"/>
      </w:r>
      <w:r w:rsidR="00631DB5">
        <w:instrText xml:space="preserve"> REF _Ref4536240 \h </w:instrText>
      </w:r>
      <w:r w:rsidR="00631DB5">
        <w:fldChar w:fldCharType="separate"/>
      </w:r>
      <w:r w:rsidR="00631DB5">
        <w:t xml:space="preserve">Figure </w:t>
      </w:r>
      <w:r w:rsidR="00631DB5">
        <w:rPr>
          <w:noProof/>
        </w:rPr>
        <w:t>1</w:t>
      </w:r>
      <w:r w:rsidR="00631DB5">
        <w:fldChar w:fldCharType="end"/>
      </w:r>
      <w:r w:rsidR="00631DB5">
        <w:t>,</w:t>
      </w:r>
      <w:r w:rsidR="00744A25">
        <w:t xml:space="preserve"> and </w:t>
      </w:r>
      <w:r w:rsidR="00F75C81">
        <w:t>while condition 1 still holds</w:t>
      </w:r>
      <w:r>
        <w:t xml:space="preserve">. </w:t>
      </w:r>
      <w:r w:rsidR="00995B2D">
        <w:t xml:space="preserve">If </w:t>
      </w:r>
      <w:r w:rsidR="00D261DA">
        <w:t xml:space="preserve">condition 2 is fulfilled while T310 is running, it implies </w:t>
      </w:r>
      <w:r w:rsidR="004C5F8F">
        <w:t xml:space="preserve">that </w:t>
      </w:r>
      <w:r w:rsidR="00D261DA">
        <w:t xml:space="preserve">condition </w:t>
      </w:r>
      <w:r w:rsidR="004C5F8F">
        <w:t>1</w:t>
      </w:r>
      <w:r w:rsidR="00D261DA">
        <w:t xml:space="preserve"> is fulfilled before condition </w:t>
      </w:r>
      <w:r w:rsidR="004C5F8F">
        <w:t>2</w:t>
      </w:r>
      <w:r w:rsidR="00D261DA">
        <w:t xml:space="preserve"> </w:t>
      </w:r>
      <w:r w:rsidR="0015049D">
        <w:t xml:space="preserve">and condition 1 holds </w:t>
      </w:r>
      <w:r w:rsidR="004C5F8F">
        <w:t xml:space="preserve">when condition 2 is fulfilled. </w:t>
      </w:r>
      <w:r w:rsidR="00984462">
        <w:t>In other words</w:t>
      </w:r>
      <w:r>
        <w:t>, condition 2 should be fulfilled before timer T310 expires, i.e. T2-T1 should be less than timer T310 value</w:t>
      </w:r>
      <w:r w:rsidR="00FA4BCA">
        <w:t>, or before T310 is aborted</w:t>
      </w:r>
      <w:r w:rsidR="00CB581C">
        <w:t xml:space="preserve"> if the link to the source cell improves</w:t>
      </w:r>
      <w:r>
        <w:t xml:space="preserve">. </w:t>
      </w:r>
      <w:r w:rsidR="00247C9E">
        <w:t>Notice that</w:t>
      </w:r>
      <w:r>
        <w:t xml:space="preserve">, if by the time condition 2 is fulfilled the remaining running time of </w:t>
      </w:r>
      <w:r w:rsidR="00247C9E">
        <w:t xml:space="preserve">T310 is less than timer T312 value, the RLF </w:t>
      </w:r>
      <w:r w:rsidR="00320807">
        <w:t>can only be</w:t>
      </w:r>
      <w:r w:rsidR="00247C9E">
        <w:t xml:space="preserve"> declared after T310 expires as T312 would be still running when T310 expires.</w:t>
      </w:r>
    </w:p>
    <w:p w14:paraId="3F1F64EF" w14:textId="5F8B5A8C" w:rsidR="00801F7D" w:rsidRDefault="00096324" w:rsidP="006D41FA">
      <w:pPr>
        <w:keepNext/>
        <w:jc w:val="center"/>
      </w:pPr>
      <w:r>
        <w:object w:dxaOrig="11461" w:dyaOrig="3345" w14:anchorId="2BAB3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pt;height:110pt" o:ole="">
            <v:imagedata r:id="rId13" o:title=""/>
          </v:shape>
          <o:OLEObject Type="Embed" ProgID="Visio.Drawing.11" ShapeID="_x0000_i1025" DrawAspect="Content" ObjectID="_1615296768" r:id="rId14"/>
        </w:object>
      </w:r>
    </w:p>
    <w:p w14:paraId="2D839E3E" w14:textId="0C76D0DA" w:rsidR="001A23E6" w:rsidRDefault="00801F7D" w:rsidP="006D41FA">
      <w:pPr>
        <w:pStyle w:val="Caption"/>
        <w:jc w:val="center"/>
      </w:pPr>
      <w:bookmarkStart w:id="1" w:name="_Ref4536240"/>
      <w:r>
        <w:t xml:space="preserve">Figure </w:t>
      </w:r>
      <w:r w:rsidR="003A2F65">
        <w:rPr>
          <w:noProof/>
        </w:rPr>
        <w:fldChar w:fldCharType="begin"/>
      </w:r>
      <w:r w:rsidR="003A2F65">
        <w:rPr>
          <w:noProof/>
        </w:rPr>
        <w:instrText xml:space="preserve"> SEQ Figure \* ARABIC </w:instrText>
      </w:r>
      <w:r w:rsidR="003A2F65">
        <w:rPr>
          <w:noProof/>
        </w:rPr>
        <w:fldChar w:fldCharType="separate"/>
      </w:r>
      <w:r w:rsidR="003E03CE">
        <w:rPr>
          <w:noProof/>
        </w:rPr>
        <w:t>1</w:t>
      </w:r>
      <w:r w:rsidR="003A2F65">
        <w:rPr>
          <w:noProof/>
        </w:rPr>
        <w:fldChar w:fldCharType="end"/>
      </w:r>
      <w:bookmarkEnd w:id="1"/>
      <w:r>
        <w:t>:</w:t>
      </w:r>
      <w:r w:rsidR="001A1BE5">
        <w:t>When condition 1 is fulfilled before condition 2</w:t>
      </w:r>
      <w:r w:rsidR="004B00A3">
        <w:t xml:space="preserve">, e.g. UE triggers a measurement report for a measurement identity associated with timer T312 after </w:t>
      </w:r>
      <w:r w:rsidR="006404D5">
        <w:t xml:space="preserve">a radio link problem is detected </w:t>
      </w:r>
      <w:r w:rsidR="009E337F">
        <w:t>towards the source cell, i.e. while timer T310 is running.</w:t>
      </w:r>
    </w:p>
    <w:p w14:paraId="7BE914C6" w14:textId="62605571" w:rsidR="00247C9E" w:rsidRDefault="00145E07" w:rsidP="00F07B11">
      <w:r>
        <w:t>I</w:t>
      </w:r>
      <w:r w:rsidR="00247C9E">
        <w:t xml:space="preserve">t would also be important </w:t>
      </w:r>
      <w:r w:rsidR="00453277">
        <w:t xml:space="preserve">to </w:t>
      </w:r>
      <w:r w:rsidR="004A578A">
        <w:t xml:space="preserve">enhance timer T312 </w:t>
      </w:r>
      <w:r w:rsidR="00247C9E">
        <w:t xml:space="preserve">to </w:t>
      </w:r>
      <w:r w:rsidR="004A578A">
        <w:t>enable</w:t>
      </w:r>
      <w:r w:rsidR="00247C9E">
        <w:t xml:space="preserve"> th</w:t>
      </w:r>
      <w:r w:rsidR="00B873DA">
        <w:t>e possibility of early RLF declaration when condition 2 is met before condition 1</w:t>
      </w:r>
      <w:r w:rsidR="00DD44C5">
        <w:t xml:space="preserve">, </w:t>
      </w:r>
      <w:r w:rsidR="00D5113A">
        <w:t>e.g. in a case</w:t>
      </w:r>
      <w:r w:rsidR="00DD44C5">
        <w:t xml:space="preserve"> </w:t>
      </w:r>
      <w:r w:rsidR="0016254C">
        <w:t xml:space="preserve">as </w:t>
      </w:r>
      <w:r w:rsidR="00DD44C5">
        <w:t xml:space="preserve">shown in </w:t>
      </w:r>
      <w:r w:rsidR="00A67ABC">
        <w:fldChar w:fldCharType="begin"/>
      </w:r>
      <w:r w:rsidR="00A67ABC">
        <w:instrText xml:space="preserve"> REF _Ref4536262 \h </w:instrText>
      </w:r>
      <w:r w:rsidR="00A67ABC">
        <w:fldChar w:fldCharType="separate"/>
      </w:r>
      <w:r w:rsidR="00A67ABC">
        <w:t xml:space="preserve">Figure </w:t>
      </w:r>
      <w:r w:rsidR="00A67ABC">
        <w:rPr>
          <w:noProof/>
        </w:rPr>
        <w:t>2</w:t>
      </w:r>
      <w:r w:rsidR="00A67ABC">
        <w:fldChar w:fldCharType="end"/>
      </w:r>
      <w:r w:rsidR="00A67ABC">
        <w:t xml:space="preserve"> </w:t>
      </w:r>
      <w:r w:rsidR="008C3CEF">
        <w:fldChar w:fldCharType="begin"/>
      </w:r>
      <w:r w:rsidR="008C3CEF">
        <w:instrText xml:space="preserve"> REF _Ref4536128 \r \h </w:instrText>
      </w:r>
      <w:r w:rsidR="008C3CEF">
        <w:fldChar w:fldCharType="separate"/>
      </w:r>
      <w:r w:rsidR="008C3CEF">
        <w:t>[6]</w:t>
      </w:r>
      <w:r w:rsidR="008C3CEF">
        <w:fldChar w:fldCharType="end"/>
      </w:r>
      <w:r w:rsidR="00B873DA">
        <w:t xml:space="preserve">. </w:t>
      </w:r>
      <w:r w:rsidR="00B70A1D">
        <w:t xml:space="preserve">This scenario is particularly relevant </w:t>
      </w:r>
      <w:r w:rsidR="00E178EE">
        <w:t xml:space="preserve">to conditional handover, as </w:t>
      </w:r>
      <w:r w:rsidR="00AD758C">
        <w:t>measurement report</w:t>
      </w:r>
      <w:r w:rsidR="008B3C0F">
        <w:t xml:space="preserve"> to prepare candidate cells, which can also be associated with timer </w:t>
      </w:r>
      <w:r w:rsidR="008D368F">
        <w:t>T</w:t>
      </w:r>
      <w:r w:rsidR="008B3C0F">
        <w:t xml:space="preserve">312, </w:t>
      </w:r>
      <w:r w:rsidR="00AD758C">
        <w:t xml:space="preserve">is </w:t>
      </w:r>
      <w:r w:rsidR="00F10BBB">
        <w:t xml:space="preserve">likely </w:t>
      </w:r>
      <w:r w:rsidR="00CA484F">
        <w:t xml:space="preserve">to be </w:t>
      </w:r>
      <w:r w:rsidR="00F10BBB">
        <w:t xml:space="preserve">triggered </w:t>
      </w:r>
      <w:r w:rsidR="008D368F">
        <w:t xml:space="preserve">before radio link </w:t>
      </w:r>
      <w:r w:rsidR="00FB669D">
        <w:t>problem</w:t>
      </w:r>
      <w:r w:rsidR="00CA484F">
        <w:t xml:space="preserve"> is</w:t>
      </w:r>
      <w:r w:rsidR="00FB669D">
        <w:t xml:space="preserve"> detected towards</w:t>
      </w:r>
      <w:r w:rsidR="000400F1">
        <w:t xml:space="preserve"> the</w:t>
      </w:r>
      <w:r w:rsidR="00FB669D">
        <w:t xml:space="preserve"> source cell. </w:t>
      </w:r>
      <w:r w:rsidR="00760503">
        <w:t xml:space="preserve">However, </w:t>
      </w:r>
      <w:r w:rsidR="00371386">
        <w:t>it</w:t>
      </w:r>
      <w:r w:rsidR="00760503">
        <w:t xml:space="preserve"> should </w:t>
      </w:r>
      <w:r w:rsidR="00371386">
        <w:t xml:space="preserve">be </w:t>
      </w:r>
      <w:r w:rsidR="00760503">
        <w:t>ensure</w:t>
      </w:r>
      <w:r w:rsidR="00371386">
        <w:t>d</w:t>
      </w:r>
      <w:r w:rsidR="00760503">
        <w:t xml:space="preserve"> that </w:t>
      </w:r>
      <w:r w:rsidR="00112632">
        <w:t xml:space="preserve">condition </w:t>
      </w:r>
      <w:r w:rsidR="008F3CDB">
        <w:t>2</w:t>
      </w:r>
      <w:r w:rsidR="00112632">
        <w:t xml:space="preserve"> still holds when condition </w:t>
      </w:r>
      <w:r w:rsidR="007B0BD7">
        <w:t>1</w:t>
      </w:r>
      <w:r w:rsidR="00112632">
        <w:t xml:space="preserve"> is fulfilled</w:t>
      </w:r>
      <w:r w:rsidR="00EC54E3">
        <w:t>, e.g. before starting timer T312</w:t>
      </w:r>
      <w:r w:rsidR="00112632">
        <w:t xml:space="preserve">. </w:t>
      </w:r>
    </w:p>
    <w:p w14:paraId="32947F02" w14:textId="77777777" w:rsidR="003E03CE" w:rsidRDefault="00F94234" w:rsidP="006D41FA">
      <w:pPr>
        <w:keepNext/>
        <w:jc w:val="center"/>
      </w:pPr>
      <w:r>
        <w:object w:dxaOrig="11461" w:dyaOrig="3382" w14:anchorId="04CC3755">
          <v:shape id="_x0000_i1026" type="#_x0000_t75" style="width:367pt;height:108pt" o:ole="">
            <v:imagedata r:id="rId15" o:title=""/>
          </v:shape>
          <o:OLEObject Type="Embed" ProgID="Visio.Drawing.11" ShapeID="_x0000_i1026" DrawAspect="Content" ObjectID="_1615296769" r:id="rId16"/>
        </w:object>
      </w:r>
    </w:p>
    <w:p w14:paraId="56B4964C" w14:textId="41B3A0CE" w:rsidR="00A01C98" w:rsidRDefault="003E03CE" w:rsidP="006D41FA">
      <w:pPr>
        <w:pStyle w:val="Caption"/>
        <w:jc w:val="center"/>
      </w:pPr>
      <w:bookmarkStart w:id="2" w:name="_Ref4536262"/>
      <w:r>
        <w:t xml:space="preserve">Figure </w:t>
      </w:r>
      <w:r w:rsidR="003A2F65">
        <w:rPr>
          <w:noProof/>
        </w:rPr>
        <w:fldChar w:fldCharType="begin"/>
      </w:r>
      <w:r w:rsidR="003A2F65">
        <w:rPr>
          <w:noProof/>
        </w:rPr>
        <w:instrText xml:space="preserve"> SEQ Figure \* ARABIC </w:instrText>
      </w:r>
      <w:r w:rsidR="003A2F65">
        <w:rPr>
          <w:noProof/>
        </w:rPr>
        <w:fldChar w:fldCharType="separate"/>
      </w:r>
      <w:r>
        <w:rPr>
          <w:noProof/>
        </w:rPr>
        <w:t>2</w:t>
      </w:r>
      <w:r w:rsidR="003A2F65">
        <w:rPr>
          <w:noProof/>
        </w:rPr>
        <w:fldChar w:fldCharType="end"/>
      </w:r>
      <w:bookmarkEnd w:id="2"/>
      <w:r>
        <w:t xml:space="preserve">:When condition 1 is fulfilled after condition 2, e.g. UE triggers a measurement report for a measurement identity associated with timer T312 </w:t>
      </w:r>
      <w:r w:rsidR="00D76920">
        <w:t>before</w:t>
      </w:r>
      <w:r>
        <w:t xml:space="preserve"> a radio link problem is detected towards the source cell, i.e. while timer T310 is running.</w:t>
      </w:r>
    </w:p>
    <w:p w14:paraId="199FB183" w14:textId="2D3325FD" w:rsidR="00247C9E" w:rsidRDefault="00521E01" w:rsidP="00F07B11">
      <w:r>
        <w:t xml:space="preserve">The UE can </w:t>
      </w:r>
      <w:r w:rsidR="00CF5B1F">
        <w:t>verify</w:t>
      </w:r>
      <w:r>
        <w:t xml:space="preserve"> </w:t>
      </w:r>
      <w:r w:rsidR="00836E97">
        <w:t>directly</w:t>
      </w:r>
      <w:r w:rsidR="00946EE3">
        <w:t xml:space="preserve"> or </w:t>
      </w:r>
      <w:r w:rsidR="00836E97">
        <w:t>indirectly</w:t>
      </w:r>
      <w:r w:rsidR="00946EE3">
        <w:t xml:space="preserve"> </w:t>
      </w:r>
      <w:r w:rsidR="00527D6E">
        <w:t>whether</w:t>
      </w:r>
      <w:r w:rsidR="00946EE3">
        <w:t xml:space="preserve"> </w:t>
      </w:r>
      <w:r w:rsidR="00A90DA4">
        <w:t>condition 2</w:t>
      </w:r>
      <w:r w:rsidR="00527D6E">
        <w:t xml:space="preserve"> </w:t>
      </w:r>
      <w:r w:rsidR="00CD4DFB">
        <w:t xml:space="preserve">(e.g. </w:t>
      </w:r>
      <w:r w:rsidR="00612987">
        <w:t xml:space="preserve">the condition that triggered </w:t>
      </w:r>
      <w:r w:rsidR="00CD4DFB">
        <w:t xml:space="preserve">a measurement report for a measurement identity which </w:t>
      </w:r>
      <w:r w:rsidR="00595559">
        <w:t>is associated with timer T312</w:t>
      </w:r>
      <w:r w:rsidR="007604F8">
        <w:t xml:space="preserve"> is still </w:t>
      </w:r>
      <w:r w:rsidR="00C5370D">
        <w:t>valid</w:t>
      </w:r>
      <w:r w:rsidR="00527D6E">
        <w:t>)</w:t>
      </w:r>
      <w:r w:rsidR="00A90DA4">
        <w:t xml:space="preserve"> holds wh</w:t>
      </w:r>
      <w:r w:rsidR="0017352B">
        <w:t>en</w:t>
      </w:r>
      <w:r w:rsidR="00A90DA4">
        <w:t xml:space="preserve"> condition 1</w:t>
      </w:r>
      <w:r w:rsidR="00595559">
        <w:t xml:space="preserve"> (e.g. Timer T310 is running)</w:t>
      </w:r>
      <w:r w:rsidR="00A90DA4">
        <w:t xml:space="preserve"> is fulfilled</w:t>
      </w:r>
      <w:r w:rsidR="00946EE3">
        <w:t xml:space="preserve"> before starting timer T312. </w:t>
      </w:r>
      <w:r w:rsidR="00BD4E86">
        <w:t xml:space="preserve">It </w:t>
      </w:r>
      <w:r w:rsidR="003D14F8">
        <w:t>is</w:t>
      </w:r>
      <w:r w:rsidR="00BD4E86">
        <w:t xml:space="preserve"> </w:t>
      </w:r>
      <w:r w:rsidR="00071760">
        <w:t xml:space="preserve">especially </w:t>
      </w:r>
      <w:r w:rsidR="00BD4E86">
        <w:t xml:space="preserve">important to </w:t>
      </w:r>
      <w:r w:rsidR="00071760">
        <w:t xml:space="preserve">directly </w:t>
      </w:r>
      <w:r w:rsidR="0017352B">
        <w:t xml:space="preserve">check if condition 2 </w:t>
      </w:r>
      <w:r w:rsidR="00317F24">
        <w:t xml:space="preserve">still </w:t>
      </w:r>
      <w:r w:rsidR="0017352B">
        <w:t xml:space="preserve">holds </w:t>
      </w:r>
      <w:r w:rsidR="00E17E56">
        <w:t xml:space="preserve">when condition 1 is fulfilled </w:t>
      </w:r>
      <w:r w:rsidR="00D53BDA">
        <w:t xml:space="preserve">when the time elapsed starting from the fulfilment of condition 2 until condition 1 is fulfilled is </w:t>
      </w:r>
      <w:r w:rsidR="00401161">
        <w:t>large</w:t>
      </w:r>
      <w:r w:rsidR="00913185">
        <w:t xml:space="preserve">, for example larger </w:t>
      </w:r>
      <w:r w:rsidR="00D53BDA">
        <w:t xml:space="preserve">than a </w:t>
      </w:r>
      <w:r w:rsidR="00260348">
        <w:t>suitably selected</w:t>
      </w:r>
      <w:r w:rsidR="00D53BDA">
        <w:t xml:space="preserve"> parameter T</w:t>
      </w:r>
      <w:r w:rsidR="00913185">
        <w:t>,</w:t>
      </w:r>
      <w:r w:rsidR="00D53BDA">
        <w:t xml:space="preserve"> T2-T1 &gt;= T. </w:t>
      </w:r>
      <w:r w:rsidR="001A7E73">
        <w:t xml:space="preserve">However, </w:t>
      </w:r>
      <w:r w:rsidR="00B216A7">
        <w:t>the UE</w:t>
      </w:r>
      <w:r w:rsidR="001A7E73">
        <w:t xml:space="preserve"> might</w:t>
      </w:r>
      <w:r w:rsidR="00B216A7">
        <w:t xml:space="preserve"> assume that </w:t>
      </w:r>
      <w:r w:rsidR="0022389D">
        <w:t xml:space="preserve">condition 2 </w:t>
      </w:r>
      <w:r w:rsidR="004C53CF">
        <w:t xml:space="preserve">still </w:t>
      </w:r>
      <w:r w:rsidR="0022389D">
        <w:t xml:space="preserve">holds when condition 1 </w:t>
      </w:r>
      <w:r w:rsidR="00381D24">
        <w:t xml:space="preserve">is </w:t>
      </w:r>
      <w:r w:rsidR="00126AE6">
        <w:t>fulfilled</w:t>
      </w:r>
      <w:r w:rsidR="0022389D">
        <w:t xml:space="preserve"> </w:t>
      </w:r>
      <w:r w:rsidR="00381D24">
        <w:t xml:space="preserve">if </w:t>
      </w:r>
      <w:r w:rsidR="00083C7E">
        <w:t xml:space="preserve">the time elapsed starting </w:t>
      </w:r>
      <w:r w:rsidR="004C53CF">
        <w:t xml:space="preserve">from </w:t>
      </w:r>
      <w:r w:rsidR="00083C7E">
        <w:t xml:space="preserve">the fulfilment of condition 2 </w:t>
      </w:r>
      <w:r w:rsidR="001413A7">
        <w:t xml:space="preserve">until condition 1 is fulfilled is </w:t>
      </w:r>
      <w:r w:rsidR="004C53CF">
        <w:t xml:space="preserve">relatively small, for example </w:t>
      </w:r>
      <w:r w:rsidR="001413A7">
        <w:t>less than parameter</w:t>
      </w:r>
      <w:r w:rsidR="00126AE6">
        <w:t xml:space="preserve"> T</w:t>
      </w:r>
      <w:r w:rsidR="001413A7">
        <w:t>, i.e.</w:t>
      </w:r>
      <w:r w:rsidR="00126AE6">
        <w:t xml:space="preserve"> T2-T1 &lt;= T.</w:t>
      </w:r>
    </w:p>
    <w:p w14:paraId="1E451F8C" w14:textId="558A8B95" w:rsidR="00CC694B" w:rsidRDefault="00CF5E6B" w:rsidP="00F07B11">
      <w:r>
        <w:t xml:space="preserve">Adopting LTE’s T312 to NR is important. However, </w:t>
      </w:r>
      <w:r w:rsidR="00CC694B">
        <w:t xml:space="preserve">it might be useful to discuss </w:t>
      </w:r>
      <w:r>
        <w:t>whether</w:t>
      </w:r>
      <w:r w:rsidR="00CC694B">
        <w:t xml:space="preserve"> to adopt T312 with enhancements from the onset or to first </w:t>
      </w:r>
      <w:r>
        <w:t>adopt the T312 with basic functionalities and work towards adding enhancements later.</w:t>
      </w:r>
    </w:p>
    <w:p w14:paraId="097DC88B" w14:textId="6D0820C6" w:rsidR="00CF5E6B" w:rsidRDefault="00CF5E6B">
      <w:pPr>
        <w:jc w:val="both"/>
      </w:pPr>
      <w:r w:rsidRPr="003B2A2A">
        <w:rPr>
          <w:b/>
          <w:bCs/>
        </w:rPr>
        <w:t xml:space="preserve">Proposal </w:t>
      </w:r>
      <w:r>
        <w:rPr>
          <w:b/>
          <w:bCs/>
        </w:rPr>
        <w:t>3</w:t>
      </w:r>
      <w:r w:rsidRPr="003B2A2A">
        <w:rPr>
          <w:b/>
          <w:bCs/>
        </w:rPr>
        <w:t>:</w:t>
      </w:r>
      <w:r>
        <w:t xml:space="preserve"> Adopt LTE’s T312 timer to NR. </w:t>
      </w:r>
      <w:r w:rsidR="00D94386">
        <w:t>Discuss</w:t>
      </w:r>
      <w:r>
        <w:t xml:space="preserve"> whether to adopt T312 with enhancements from the onset or to first adopt T312 with basic functionalities and work towards adding enhancements later.</w:t>
      </w:r>
    </w:p>
    <w:p w14:paraId="61EECD96" w14:textId="66F3E2AE" w:rsidR="0023715B" w:rsidRDefault="0023715B" w:rsidP="0023715B">
      <w:pPr>
        <w:jc w:val="both"/>
      </w:pPr>
      <w:r w:rsidRPr="003B2A2A">
        <w:rPr>
          <w:b/>
          <w:bCs/>
        </w:rPr>
        <w:t xml:space="preserve">Proposal </w:t>
      </w:r>
      <w:r w:rsidR="00BA5CE1">
        <w:rPr>
          <w:b/>
          <w:bCs/>
        </w:rPr>
        <w:t>4</w:t>
      </w:r>
      <w:r w:rsidRPr="003B2A2A">
        <w:rPr>
          <w:b/>
          <w:bCs/>
        </w:rPr>
        <w:t>:</w:t>
      </w:r>
      <w:r>
        <w:t xml:space="preserve"> Timer T312 should be </w:t>
      </w:r>
      <w:r w:rsidR="00BA47C1">
        <w:t xml:space="preserve">enhanced to include the case where </w:t>
      </w:r>
      <w:r w:rsidR="00F60A09">
        <w:t xml:space="preserve">UE triggers a measurement report </w:t>
      </w:r>
      <w:r w:rsidR="00B5287C">
        <w:t>for a measurement identity which is associated with T312</w:t>
      </w:r>
      <w:r w:rsidR="00FC75FD">
        <w:t xml:space="preserve"> before a </w:t>
      </w:r>
      <w:r w:rsidR="008C1A86">
        <w:t xml:space="preserve">radio </w:t>
      </w:r>
      <w:r w:rsidR="00FC75FD">
        <w:t xml:space="preserve">link problem towards the source cell is detected, i.e. T310 </w:t>
      </w:r>
      <w:r w:rsidR="008C1A86">
        <w:t>starts running.</w:t>
      </w:r>
    </w:p>
    <w:p w14:paraId="704EC889" w14:textId="7C97526B" w:rsidR="00545BD9" w:rsidRPr="00DB0427" w:rsidRDefault="004A6877" w:rsidP="006D41FA">
      <w:r w:rsidRPr="003B2A2A">
        <w:rPr>
          <w:b/>
          <w:bCs/>
        </w:rPr>
        <w:t xml:space="preserve">Proposal </w:t>
      </w:r>
      <w:r w:rsidR="00BA5CE1">
        <w:rPr>
          <w:b/>
          <w:bCs/>
        </w:rPr>
        <w:t>5</w:t>
      </w:r>
      <w:r w:rsidRPr="003B2A2A">
        <w:rPr>
          <w:b/>
          <w:bCs/>
        </w:rPr>
        <w:t>:</w:t>
      </w:r>
      <w:r>
        <w:t xml:space="preserve"> Timer T312 </w:t>
      </w:r>
      <w:r w:rsidR="00895FCE">
        <w:t>can be</w:t>
      </w:r>
      <w:r>
        <w:t xml:space="preserve"> started as early as when T310 starts running </w:t>
      </w:r>
      <w:r w:rsidR="00754670">
        <w:t>if</w:t>
      </w:r>
      <w:r>
        <w:t xml:space="preserve"> measurement report has already been triggered and the condition for triggering the measurement report still holds at the start of T310.</w:t>
      </w:r>
    </w:p>
    <w:p w14:paraId="43A12B72" w14:textId="5BBB0DC3" w:rsidR="00CD4C7B" w:rsidRPr="006E13D1" w:rsidRDefault="00CD4C7B" w:rsidP="00CD4C7B">
      <w:pPr>
        <w:pStyle w:val="Heading1"/>
      </w:pPr>
      <w:r w:rsidRPr="006E13D1">
        <w:t>4</w:t>
      </w:r>
      <w:r w:rsidRPr="006E13D1">
        <w:tab/>
      </w:r>
      <w:r w:rsidR="00EC404A">
        <w:t>Conclusion</w:t>
      </w:r>
    </w:p>
    <w:p w14:paraId="190C81D1" w14:textId="14D906AD" w:rsidR="00CD4C7B" w:rsidRDefault="00934EB9" w:rsidP="00EF31F5">
      <w:pPr>
        <w:jc w:val="both"/>
      </w:pPr>
      <w:r>
        <w:t>The contribution</w:t>
      </w:r>
      <w:r w:rsidR="004C5AA0">
        <w:t xml:space="preserve"> di</w:t>
      </w:r>
      <w:r w:rsidR="00D31234">
        <w:t xml:space="preserve">scussed </w:t>
      </w:r>
      <w:r w:rsidR="00E82E1E">
        <w:t xml:space="preserve">failure </w:t>
      </w:r>
      <w:r w:rsidR="00D31234">
        <w:t xml:space="preserve">recovery for </w:t>
      </w:r>
      <w:r w:rsidR="00DB42E7">
        <w:t>LTE</w:t>
      </w:r>
      <w:r w:rsidR="00D31234">
        <w:t xml:space="preserve">. Several factors that might impact the recovery process are discussed, and the following </w:t>
      </w:r>
      <w:r w:rsidR="00DC04F9">
        <w:t xml:space="preserve">observations and </w:t>
      </w:r>
      <w:r w:rsidR="00D31234">
        <w:t>proposal are made.</w:t>
      </w:r>
    </w:p>
    <w:p w14:paraId="3987ECE5" w14:textId="77777777" w:rsidR="00D10CAD" w:rsidRPr="0063272C" w:rsidRDefault="00D10CAD" w:rsidP="00D10CAD">
      <w:pPr>
        <w:jc w:val="both"/>
        <w:rPr>
          <w:bCs/>
        </w:rPr>
      </w:pPr>
      <w:r w:rsidRPr="00E776FC">
        <w:rPr>
          <w:b/>
          <w:bCs/>
        </w:rPr>
        <w:t>Observation</w:t>
      </w:r>
      <w:r>
        <w:rPr>
          <w:b/>
          <w:bCs/>
        </w:rPr>
        <w:t xml:space="preserve"> 1</w:t>
      </w:r>
      <w:r w:rsidRPr="003B2A2A">
        <w:rPr>
          <w:b/>
          <w:bCs/>
        </w:rPr>
        <w:t>:</w:t>
      </w:r>
      <w:r>
        <w:t xml:space="preserve"> Enhancement for early activation of SRB1 is beneficial to speed up failure recovery.</w:t>
      </w:r>
    </w:p>
    <w:p w14:paraId="699F5F38" w14:textId="44299A46" w:rsidR="00D10CAD" w:rsidRPr="006E13D1" w:rsidRDefault="00D10CAD" w:rsidP="00D10CAD">
      <w:pPr>
        <w:jc w:val="both"/>
      </w:pPr>
      <w:r w:rsidRPr="00BE031B">
        <w:rPr>
          <w:b/>
          <w:bCs/>
        </w:rPr>
        <w:t>Proposal</w:t>
      </w:r>
      <w:r>
        <w:rPr>
          <w:b/>
          <w:bCs/>
        </w:rPr>
        <w:t xml:space="preserve"> </w:t>
      </w:r>
      <w:r w:rsidR="00CF5E6B">
        <w:rPr>
          <w:b/>
          <w:bCs/>
        </w:rPr>
        <w:t>1</w:t>
      </w:r>
      <w:r>
        <w:t>: The network may provide SI of potential target cells for failure recovery to reduce failure recovery latency. However, optimizations to minimize its impact on the network, for example with the assistance of MRO, should be considered.</w:t>
      </w:r>
    </w:p>
    <w:p w14:paraId="6C613228" w14:textId="0B105077" w:rsidR="00D10CAD" w:rsidRDefault="00D10CAD" w:rsidP="00EF31F5">
      <w:pPr>
        <w:jc w:val="both"/>
      </w:pPr>
      <w:r w:rsidRPr="00471F31">
        <w:rPr>
          <w:b/>
        </w:rPr>
        <w:t xml:space="preserve">Proposal </w:t>
      </w:r>
      <w:r w:rsidR="00CF5E6B">
        <w:rPr>
          <w:b/>
        </w:rPr>
        <w:t>2</w:t>
      </w:r>
      <w:r w:rsidRPr="00471F31">
        <w:rPr>
          <w:b/>
        </w:rPr>
        <w:t>:</w:t>
      </w:r>
      <w:r>
        <w:t xml:space="preserve"> UE should prioritise re-establishment towards cells with proactively prepared UE AS context. It is FFS if different T312 timer values can be used for different cells to prioritise and speed up re-establishment towards cells with UE context.</w:t>
      </w:r>
    </w:p>
    <w:p w14:paraId="6ADA1758" w14:textId="09A4E77E" w:rsidR="00CF5E6B" w:rsidRDefault="00CF5E6B" w:rsidP="00CF5E6B">
      <w:pPr>
        <w:jc w:val="both"/>
      </w:pPr>
      <w:r w:rsidRPr="003B2A2A">
        <w:rPr>
          <w:b/>
          <w:bCs/>
        </w:rPr>
        <w:t xml:space="preserve">Proposal </w:t>
      </w:r>
      <w:r>
        <w:rPr>
          <w:b/>
          <w:bCs/>
        </w:rPr>
        <w:t>3</w:t>
      </w:r>
      <w:r w:rsidRPr="003B2A2A">
        <w:rPr>
          <w:b/>
          <w:bCs/>
        </w:rPr>
        <w:t>:</w:t>
      </w:r>
      <w:r>
        <w:t xml:space="preserve"> Adopt LTE’s T312 timer to NR. </w:t>
      </w:r>
      <w:r w:rsidR="00D94386">
        <w:t xml:space="preserve">Discuss </w:t>
      </w:r>
      <w:r>
        <w:t>whether to adopt T312 with enhancements from the onset or to first adopt T312 with basic functionalities and work towards adding enhancements later.</w:t>
      </w:r>
    </w:p>
    <w:p w14:paraId="74473FFF" w14:textId="77777777" w:rsidR="00D10CAD" w:rsidRDefault="00D10CAD" w:rsidP="00D10CAD">
      <w:pPr>
        <w:jc w:val="both"/>
      </w:pPr>
      <w:r w:rsidRPr="003B2A2A">
        <w:rPr>
          <w:b/>
          <w:bCs/>
        </w:rPr>
        <w:t xml:space="preserve">Proposal </w:t>
      </w:r>
      <w:r>
        <w:rPr>
          <w:b/>
          <w:bCs/>
        </w:rPr>
        <w:t>4</w:t>
      </w:r>
      <w:r w:rsidRPr="003B2A2A">
        <w:rPr>
          <w:b/>
          <w:bCs/>
        </w:rPr>
        <w:t>:</w:t>
      </w:r>
      <w:r>
        <w:t xml:space="preserve"> Timer T312 should be enhanced to include the case where UE triggers a measurement report for a measurement identity which is associated with T312 before a radio link problem towards the source cell is detected, i.e. T310 starts running.</w:t>
      </w:r>
    </w:p>
    <w:p w14:paraId="01ACCCB6" w14:textId="66514742" w:rsidR="00255ABB" w:rsidRPr="00B26CA9" w:rsidRDefault="00D10CAD" w:rsidP="00EF31F5">
      <w:pPr>
        <w:jc w:val="both"/>
      </w:pPr>
      <w:r w:rsidRPr="003B2A2A">
        <w:rPr>
          <w:b/>
          <w:bCs/>
        </w:rPr>
        <w:t xml:space="preserve">Proposal </w:t>
      </w:r>
      <w:r>
        <w:rPr>
          <w:b/>
          <w:bCs/>
        </w:rPr>
        <w:t>5</w:t>
      </w:r>
      <w:r w:rsidRPr="003B2A2A">
        <w:rPr>
          <w:b/>
          <w:bCs/>
        </w:rPr>
        <w:t>:</w:t>
      </w:r>
      <w:r>
        <w:t xml:space="preserve"> Timer T312 can be started as early as when T310 starts running if measurement report has already been triggered and the condition for triggering the measurement report still holds at the start of T310.</w:t>
      </w:r>
    </w:p>
    <w:p w14:paraId="0FDCFAC2" w14:textId="77777777" w:rsidR="00CD4C7B" w:rsidRPr="006E13D1" w:rsidRDefault="00CD4C7B" w:rsidP="00CD4C7B">
      <w:pPr>
        <w:pStyle w:val="Heading1"/>
      </w:pPr>
      <w:r w:rsidRPr="006E13D1">
        <w:lastRenderedPageBreak/>
        <w:t>References</w:t>
      </w:r>
    </w:p>
    <w:p w14:paraId="3071922E" w14:textId="77777777" w:rsidR="00501AB5" w:rsidRDefault="00501AB5" w:rsidP="00501AB5">
      <w:pPr>
        <w:numPr>
          <w:ilvl w:val="0"/>
          <w:numId w:val="4"/>
        </w:numPr>
        <w:overflowPunct w:val="0"/>
        <w:autoSpaceDE w:val="0"/>
        <w:autoSpaceDN w:val="0"/>
        <w:adjustRightInd w:val="0"/>
        <w:jc w:val="both"/>
        <w:textAlignment w:val="baseline"/>
      </w:pPr>
      <w:bookmarkStart w:id="3" w:name="_Ref528151056"/>
      <w:bookmarkStart w:id="4" w:name="_Ref75086397"/>
      <w:r w:rsidRPr="00E56643">
        <w:t>RP-181433, New WID: NR mobility enhancements, 3GPP TSG RAN Meeting #80, La Jolla, USA, May 21-May 25 2018.</w:t>
      </w:r>
      <w:r w:rsidRPr="00E56643" w:rsidDel="00E56643">
        <w:t xml:space="preserve"> </w:t>
      </w:r>
      <w:r>
        <w:t xml:space="preserve"> </w:t>
      </w:r>
    </w:p>
    <w:p w14:paraId="4ACE03A7" w14:textId="1D8E3D99" w:rsidR="00C46A94" w:rsidRDefault="00C32400" w:rsidP="00EF31F5">
      <w:pPr>
        <w:numPr>
          <w:ilvl w:val="0"/>
          <w:numId w:val="4"/>
        </w:numPr>
        <w:overflowPunct w:val="0"/>
        <w:autoSpaceDE w:val="0"/>
        <w:autoSpaceDN w:val="0"/>
        <w:adjustRightInd w:val="0"/>
        <w:jc w:val="both"/>
        <w:textAlignment w:val="baseline"/>
      </w:pPr>
      <w:bookmarkStart w:id="5" w:name="_Hlk4537357"/>
      <w:bookmarkStart w:id="6" w:name="_Ref4535960"/>
      <w:bookmarkEnd w:id="3"/>
      <w:r w:rsidRPr="00C32400">
        <w:t>R2-1900611</w:t>
      </w:r>
      <w:bookmarkEnd w:id="5"/>
      <w:r w:rsidR="00C46A94">
        <w:t xml:space="preserve">, </w:t>
      </w:r>
      <w:r w:rsidR="00207741" w:rsidRPr="00207741">
        <w:t xml:space="preserve">Considerations on failure recovery in </w:t>
      </w:r>
      <w:r>
        <w:t>NR</w:t>
      </w:r>
      <w:r w:rsidR="00207741">
        <w:t xml:space="preserve">, </w:t>
      </w:r>
      <w:r w:rsidR="00F5422B" w:rsidRPr="00F5422B">
        <w:t>3GPP TSG-RAN WG2 Meeting #105</w:t>
      </w:r>
      <w:r w:rsidR="00F5422B">
        <w:t xml:space="preserve">, </w:t>
      </w:r>
      <w:r w:rsidR="00A84E0E" w:rsidRPr="00A84E0E">
        <w:t>25th of February – 1st of March 2019</w:t>
      </w:r>
      <w:bookmarkEnd w:id="6"/>
      <w:r w:rsidR="00A84E0E">
        <w:t xml:space="preserve"> </w:t>
      </w:r>
    </w:p>
    <w:p w14:paraId="34871021" w14:textId="34AF834B" w:rsidR="00A1115F" w:rsidRDefault="00A1115F" w:rsidP="00EF31F5">
      <w:pPr>
        <w:numPr>
          <w:ilvl w:val="0"/>
          <w:numId w:val="4"/>
        </w:numPr>
        <w:overflowPunct w:val="0"/>
        <w:autoSpaceDE w:val="0"/>
        <w:autoSpaceDN w:val="0"/>
        <w:adjustRightInd w:val="0"/>
        <w:jc w:val="both"/>
        <w:textAlignment w:val="baseline"/>
      </w:pPr>
      <w:bookmarkStart w:id="7" w:name="_Ref528151085"/>
      <w:r w:rsidRPr="00A1115F">
        <w:t>R2-1814322</w:t>
      </w:r>
      <w:r>
        <w:t xml:space="preserve">, </w:t>
      </w:r>
      <w:r w:rsidRPr="00A1115F">
        <w:rPr>
          <w:i/>
        </w:rPr>
        <w:t>Enhancements to re-establishment procedure in LTE</w:t>
      </w:r>
      <w:r>
        <w:t xml:space="preserve">, </w:t>
      </w:r>
      <w:r w:rsidRPr="00A1115F">
        <w:t>3GPP TSG-RAN WG2#103bis</w:t>
      </w:r>
      <w:r>
        <w:t xml:space="preserve">, </w:t>
      </w:r>
      <w:r w:rsidRPr="00A1115F">
        <w:t>Chengdu, China, 8th – 12th October 2018</w:t>
      </w:r>
      <w:bookmarkEnd w:id="7"/>
    </w:p>
    <w:p w14:paraId="35F222F4" w14:textId="39A71E72" w:rsidR="00080512" w:rsidRDefault="00A1115F" w:rsidP="00EF31F5">
      <w:pPr>
        <w:numPr>
          <w:ilvl w:val="0"/>
          <w:numId w:val="4"/>
        </w:numPr>
        <w:overflowPunct w:val="0"/>
        <w:autoSpaceDE w:val="0"/>
        <w:autoSpaceDN w:val="0"/>
        <w:adjustRightInd w:val="0"/>
        <w:jc w:val="both"/>
        <w:textAlignment w:val="baseline"/>
      </w:pPr>
      <w:bookmarkStart w:id="8" w:name="_Ref528151128"/>
      <w:r w:rsidRPr="00A1115F">
        <w:t>R2-1805012</w:t>
      </w:r>
      <w:r>
        <w:t xml:space="preserve">, </w:t>
      </w:r>
      <w:bookmarkEnd w:id="4"/>
      <w:r w:rsidRPr="00834329">
        <w:rPr>
          <w:i/>
        </w:rPr>
        <w:t>Reestablishment procedure for NR</w:t>
      </w:r>
      <w:r>
        <w:t xml:space="preserve">, </w:t>
      </w:r>
      <w:r w:rsidR="00AC3917" w:rsidRPr="00AC3917">
        <w:t>3GPP TSG RAN WG2 Meeting #101bis</w:t>
      </w:r>
      <w:r w:rsidR="00AC3917">
        <w:t xml:space="preserve">, </w:t>
      </w:r>
      <w:r w:rsidR="00AC3917" w:rsidRPr="00AC3917">
        <w:t>Sanya, China, 16th - 20th April 2018</w:t>
      </w:r>
      <w:bookmarkEnd w:id="8"/>
    </w:p>
    <w:p w14:paraId="234791A4" w14:textId="77777777" w:rsidR="00C32400" w:rsidRDefault="00C32400" w:rsidP="00C32400">
      <w:pPr>
        <w:numPr>
          <w:ilvl w:val="0"/>
          <w:numId w:val="4"/>
        </w:numPr>
        <w:overflowPunct w:val="0"/>
        <w:autoSpaceDE w:val="0"/>
        <w:autoSpaceDN w:val="0"/>
        <w:adjustRightInd w:val="0"/>
        <w:jc w:val="both"/>
        <w:textAlignment w:val="baseline"/>
      </w:pPr>
      <w:bookmarkStart w:id="9" w:name="_Ref4586328"/>
      <w:bookmarkStart w:id="10" w:name="_Ref4536128"/>
      <w:r>
        <w:t xml:space="preserve">3GPP </w:t>
      </w:r>
      <w:r w:rsidRPr="000F4184">
        <w:t>TS</w:t>
      </w:r>
      <w:r>
        <w:t xml:space="preserve"> </w:t>
      </w:r>
      <w:r w:rsidRPr="000F4184">
        <w:t>3</w:t>
      </w:r>
      <w:r>
        <w:t>6</w:t>
      </w:r>
      <w:r w:rsidRPr="000F4184">
        <w:t>.331</w:t>
      </w:r>
      <w:r>
        <w:t xml:space="preserve">, </w:t>
      </w:r>
      <w:r w:rsidRPr="006D41FA">
        <w:rPr>
          <w:i/>
        </w:rPr>
        <w:t xml:space="preserve">Evolved Universal Terrestrial Radio Access (E-UTRA); Radio Resource Control (RRC); Protocol specification, </w:t>
      </w:r>
      <w:r>
        <w:t>December</w:t>
      </w:r>
      <w:r w:rsidRPr="00A1115F">
        <w:t xml:space="preserve"> 2018</w:t>
      </w:r>
      <w:bookmarkEnd w:id="9"/>
    </w:p>
    <w:p w14:paraId="3C761843" w14:textId="77777777" w:rsidR="004D06EC" w:rsidRDefault="004D06EC" w:rsidP="004D06EC">
      <w:pPr>
        <w:numPr>
          <w:ilvl w:val="0"/>
          <w:numId w:val="4"/>
        </w:numPr>
        <w:overflowPunct w:val="0"/>
        <w:autoSpaceDE w:val="0"/>
        <w:autoSpaceDN w:val="0"/>
        <w:adjustRightInd w:val="0"/>
        <w:jc w:val="both"/>
        <w:textAlignment w:val="baseline"/>
      </w:pPr>
      <w:r w:rsidRPr="00A1115F">
        <w:t>R2-1814323</w:t>
      </w:r>
      <w:r>
        <w:t xml:space="preserve">, </w:t>
      </w:r>
      <w:r w:rsidRPr="00A1115F">
        <w:rPr>
          <w:i/>
        </w:rPr>
        <w:t>Enhancing the handling of timer T312</w:t>
      </w:r>
      <w:r>
        <w:t xml:space="preserve">, </w:t>
      </w:r>
      <w:r w:rsidRPr="00A1115F">
        <w:t>3GPP TSG-RAN WG2#103bis</w:t>
      </w:r>
      <w:r>
        <w:t xml:space="preserve">, </w:t>
      </w:r>
      <w:r w:rsidRPr="00A1115F">
        <w:t>Chengdu, China, 8th – 12th October 2018</w:t>
      </w:r>
      <w:bookmarkEnd w:id="10"/>
    </w:p>
    <w:p w14:paraId="45578A6A" w14:textId="77777777" w:rsidR="00C32400" w:rsidRPr="00CD4C7B" w:rsidRDefault="00C32400" w:rsidP="00981C9C">
      <w:pPr>
        <w:overflowPunct w:val="0"/>
        <w:autoSpaceDE w:val="0"/>
        <w:autoSpaceDN w:val="0"/>
        <w:adjustRightInd w:val="0"/>
        <w:jc w:val="both"/>
        <w:textAlignment w:val="baseline"/>
      </w:pPr>
    </w:p>
    <w:sectPr w:rsidR="00C32400" w:rsidRPr="00CD4C7B" w:rsidSect="003B2A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697DE" w14:textId="77777777" w:rsidR="00557C83" w:rsidRDefault="00557C83">
      <w:r>
        <w:separator/>
      </w:r>
    </w:p>
  </w:endnote>
  <w:endnote w:type="continuationSeparator" w:id="0">
    <w:p w14:paraId="016E7C48" w14:textId="77777777" w:rsidR="00557C83" w:rsidRDefault="00557C83">
      <w:r>
        <w:continuationSeparator/>
      </w:r>
    </w:p>
  </w:endnote>
  <w:endnote w:type="continuationNotice" w:id="1">
    <w:p w14:paraId="2669C7CD" w14:textId="77777777" w:rsidR="00557C83" w:rsidRDefault="00557C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0B15D2" w:rsidRDefault="000B1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0B15D2" w:rsidRDefault="000B1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0B15D2" w:rsidRDefault="000B1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E8850" w14:textId="77777777" w:rsidR="00557C83" w:rsidRDefault="00557C83">
      <w:r>
        <w:separator/>
      </w:r>
    </w:p>
  </w:footnote>
  <w:footnote w:type="continuationSeparator" w:id="0">
    <w:p w14:paraId="434164B5" w14:textId="77777777" w:rsidR="00557C83" w:rsidRDefault="00557C83">
      <w:r>
        <w:continuationSeparator/>
      </w:r>
    </w:p>
  </w:footnote>
  <w:footnote w:type="continuationNotice" w:id="1">
    <w:p w14:paraId="185D56CF" w14:textId="77777777" w:rsidR="00557C83" w:rsidRDefault="00557C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0B15D2" w:rsidRDefault="000B15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0B15D2" w:rsidRDefault="000B1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0B15D2" w:rsidRDefault="000B1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D850C2"/>
    <w:multiLevelType w:val="hybridMultilevel"/>
    <w:tmpl w:val="F2EC06B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B2F5914"/>
    <w:multiLevelType w:val="hybridMultilevel"/>
    <w:tmpl w:val="39A6F6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8F"/>
    <w:rsid w:val="0002129E"/>
    <w:rsid w:val="00023FE1"/>
    <w:rsid w:val="00023FF3"/>
    <w:rsid w:val="00025CAA"/>
    <w:rsid w:val="00026163"/>
    <w:rsid w:val="00033397"/>
    <w:rsid w:val="00036A85"/>
    <w:rsid w:val="00040095"/>
    <w:rsid w:val="000400F1"/>
    <w:rsid w:val="00042337"/>
    <w:rsid w:val="00055729"/>
    <w:rsid w:val="00064569"/>
    <w:rsid w:val="00065106"/>
    <w:rsid w:val="000656C6"/>
    <w:rsid w:val="000658D1"/>
    <w:rsid w:val="000665E2"/>
    <w:rsid w:val="00066E93"/>
    <w:rsid w:val="00071760"/>
    <w:rsid w:val="000721ED"/>
    <w:rsid w:val="00073C25"/>
    <w:rsid w:val="00080512"/>
    <w:rsid w:val="00083C7E"/>
    <w:rsid w:val="00087D20"/>
    <w:rsid w:val="00090468"/>
    <w:rsid w:val="0009078A"/>
    <w:rsid w:val="0009151D"/>
    <w:rsid w:val="00095799"/>
    <w:rsid w:val="00096324"/>
    <w:rsid w:val="000A5DC9"/>
    <w:rsid w:val="000B15D2"/>
    <w:rsid w:val="000B7BCF"/>
    <w:rsid w:val="000C1610"/>
    <w:rsid w:val="000C1DC9"/>
    <w:rsid w:val="000C4661"/>
    <w:rsid w:val="000C522B"/>
    <w:rsid w:val="000D1C3C"/>
    <w:rsid w:val="000D2C9E"/>
    <w:rsid w:val="000D58AB"/>
    <w:rsid w:val="000E76EC"/>
    <w:rsid w:val="000F16F5"/>
    <w:rsid w:val="000F29D0"/>
    <w:rsid w:val="000F4184"/>
    <w:rsid w:val="000F5175"/>
    <w:rsid w:val="000F73A2"/>
    <w:rsid w:val="001029D4"/>
    <w:rsid w:val="001059B9"/>
    <w:rsid w:val="00106D9B"/>
    <w:rsid w:val="00106E25"/>
    <w:rsid w:val="001070D6"/>
    <w:rsid w:val="001079A2"/>
    <w:rsid w:val="00112632"/>
    <w:rsid w:val="00112F1A"/>
    <w:rsid w:val="00116441"/>
    <w:rsid w:val="00117E0A"/>
    <w:rsid w:val="00125389"/>
    <w:rsid w:val="0012595C"/>
    <w:rsid w:val="0012661A"/>
    <w:rsid w:val="00126AE6"/>
    <w:rsid w:val="0013023F"/>
    <w:rsid w:val="001315D2"/>
    <w:rsid w:val="00131D33"/>
    <w:rsid w:val="00133FC0"/>
    <w:rsid w:val="00140130"/>
    <w:rsid w:val="001413A7"/>
    <w:rsid w:val="001434E6"/>
    <w:rsid w:val="00145075"/>
    <w:rsid w:val="00145E07"/>
    <w:rsid w:val="00145E81"/>
    <w:rsid w:val="0015049D"/>
    <w:rsid w:val="00153844"/>
    <w:rsid w:val="001610D0"/>
    <w:rsid w:val="0016254C"/>
    <w:rsid w:val="00162BE6"/>
    <w:rsid w:val="00162F06"/>
    <w:rsid w:val="00163DDD"/>
    <w:rsid w:val="00165ECC"/>
    <w:rsid w:val="0017352B"/>
    <w:rsid w:val="001741A0"/>
    <w:rsid w:val="00175FA0"/>
    <w:rsid w:val="00194CD0"/>
    <w:rsid w:val="00197620"/>
    <w:rsid w:val="001A0627"/>
    <w:rsid w:val="001A1BE5"/>
    <w:rsid w:val="001A23E6"/>
    <w:rsid w:val="001A3BC4"/>
    <w:rsid w:val="001A7E73"/>
    <w:rsid w:val="001B49C9"/>
    <w:rsid w:val="001B6DAF"/>
    <w:rsid w:val="001C467F"/>
    <w:rsid w:val="001C4F79"/>
    <w:rsid w:val="001C5BDB"/>
    <w:rsid w:val="001C6DD7"/>
    <w:rsid w:val="001F168B"/>
    <w:rsid w:val="001F2530"/>
    <w:rsid w:val="001F39E8"/>
    <w:rsid w:val="001F3D5E"/>
    <w:rsid w:val="001F671B"/>
    <w:rsid w:val="001F7831"/>
    <w:rsid w:val="00202876"/>
    <w:rsid w:val="00204045"/>
    <w:rsid w:val="00206727"/>
    <w:rsid w:val="0020712B"/>
    <w:rsid w:val="00207741"/>
    <w:rsid w:val="00212FB0"/>
    <w:rsid w:val="00214BD3"/>
    <w:rsid w:val="0021664E"/>
    <w:rsid w:val="002218C5"/>
    <w:rsid w:val="00221FE3"/>
    <w:rsid w:val="0022389D"/>
    <w:rsid w:val="0022606D"/>
    <w:rsid w:val="00231728"/>
    <w:rsid w:val="0023715B"/>
    <w:rsid w:val="00237CA9"/>
    <w:rsid w:val="00246343"/>
    <w:rsid w:val="00247C9E"/>
    <w:rsid w:val="00250BD0"/>
    <w:rsid w:val="00250D15"/>
    <w:rsid w:val="00255ABB"/>
    <w:rsid w:val="00260348"/>
    <w:rsid w:val="002610D8"/>
    <w:rsid w:val="00261D26"/>
    <w:rsid w:val="00263E5C"/>
    <w:rsid w:val="002705D0"/>
    <w:rsid w:val="002747EC"/>
    <w:rsid w:val="00283741"/>
    <w:rsid w:val="00283E5C"/>
    <w:rsid w:val="002855BF"/>
    <w:rsid w:val="0029324C"/>
    <w:rsid w:val="002968AA"/>
    <w:rsid w:val="00296A0A"/>
    <w:rsid w:val="002A0FA3"/>
    <w:rsid w:val="002B7944"/>
    <w:rsid w:val="002D19E1"/>
    <w:rsid w:val="002D1D52"/>
    <w:rsid w:val="002D215B"/>
    <w:rsid w:val="002D5F48"/>
    <w:rsid w:val="002E48A2"/>
    <w:rsid w:val="002F0D22"/>
    <w:rsid w:val="002F0F1F"/>
    <w:rsid w:val="002F24AC"/>
    <w:rsid w:val="0030263B"/>
    <w:rsid w:val="00303270"/>
    <w:rsid w:val="00305587"/>
    <w:rsid w:val="00310CB1"/>
    <w:rsid w:val="00314AF6"/>
    <w:rsid w:val="00316EF8"/>
    <w:rsid w:val="003172DC"/>
    <w:rsid w:val="00317A9A"/>
    <w:rsid w:val="00317F24"/>
    <w:rsid w:val="003205B7"/>
    <w:rsid w:val="00320807"/>
    <w:rsid w:val="00323BAA"/>
    <w:rsid w:val="00325AE3"/>
    <w:rsid w:val="00326069"/>
    <w:rsid w:val="00330A0B"/>
    <w:rsid w:val="00330F24"/>
    <w:rsid w:val="00332511"/>
    <w:rsid w:val="0033484D"/>
    <w:rsid w:val="0035462D"/>
    <w:rsid w:val="00354FBE"/>
    <w:rsid w:val="00364B41"/>
    <w:rsid w:val="00371386"/>
    <w:rsid w:val="00372025"/>
    <w:rsid w:val="00381D24"/>
    <w:rsid w:val="00384916"/>
    <w:rsid w:val="0038512A"/>
    <w:rsid w:val="00392DE8"/>
    <w:rsid w:val="003948B9"/>
    <w:rsid w:val="003A0C6C"/>
    <w:rsid w:val="003A2CD1"/>
    <w:rsid w:val="003A2F65"/>
    <w:rsid w:val="003A3C2C"/>
    <w:rsid w:val="003A41EF"/>
    <w:rsid w:val="003B240B"/>
    <w:rsid w:val="003B2A2A"/>
    <w:rsid w:val="003B40AD"/>
    <w:rsid w:val="003B418A"/>
    <w:rsid w:val="003C1502"/>
    <w:rsid w:val="003C4E37"/>
    <w:rsid w:val="003D14F8"/>
    <w:rsid w:val="003E03CE"/>
    <w:rsid w:val="003E1261"/>
    <w:rsid w:val="003E16BE"/>
    <w:rsid w:val="003E24D7"/>
    <w:rsid w:val="003E4037"/>
    <w:rsid w:val="003E50A0"/>
    <w:rsid w:val="003E6958"/>
    <w:rsid w:val="003E7387"/>
    <w:rsid w:val="003F1057"/>
    <w:rsid w:val="003F2619"/>
    <w:rsid w:val="003F4E28"/>
    <w:rsid w:val="004006E8"/>
    <w:rsid w:val="00401161"/>
    <w:rsid w:val="00401855"/>
    <w:rsid w:val="00405E79"/>
    <w:rsid w:val="00407C8F"/>
    <w:rsid w:val="00410BCA"/>
    <w:rsid w:val="00411D61"/>
    <w:rsid w:val="00415A22"/>
    <w:rsid w:val="004176F8"/>
    <w:rsid w:val="004212EF"/>
    <w:rsid w:val="004224F8"/>
    <w:rsid w:val="004249B8"/>
    <w:rsid w:val="004413A7"/>
    <w:rsid w:val="0044363C"/>
    <w:rsid w:val="004465C2"/>
    <w:rsid w:val="00446A33"/>
    <w:rsid w:val="004512BD"/>
    <w:rsid w:val="00452B6C"/>
    <w:rsid w:val="00453277"/>
    <w:rsid w:val="00464425"/>
    <w:rsid w:val="00471F31"/>
    <w:rsid w:val="00477455"/>
    <w:rsid w:val="00483FA8"/>
    <w:rsid w:val="00485919"/>
    <w:rsid w:val="004A03B2"/>
    <w:rsid w:val="004A1F7B"/>
    <w:rsid w:val="004A4C5A"/>
    <w:rsid w:val="004A578A"/>
    <w:rsid w:val="004A6877"/>
    <w:rsid w:val="004B00A3"/>
    <w:rsid w:val="004B0BB3"/>
    <w:rsid w:val="004B0ED2"/>
    <w:rsid w:val="004B4791"/>
    <w:rsid w:val="004C44D2"/>
    <w:rsid w:val="004C53CF"/>
    <w:rsid w:val="004C5AA0"/>
    <w:rsid w:val="004C5F8F"/>
    <w:rsid w:val="004C7302"/>
    <w:rsid w:val="004D06EC"/>
    <w:rsid w:val="004D3578"/>
    <w:rsid w:val="004D380D"/>
    <w:rsid w:val="004D5A8E"/>
    <w:rsid w:val="004E1FEA"/>
    <w:rsid w:val="004E213A"/>
    <w:rsid w:val="004E40CD"/>
    <w:rsid w:val="00501AB5"/>
    <w:rsid w:val="00503171"/>
    <w:rsid w:val="00506C28"/>
    <w:rsid w:val="00510176"/>
    <w:rsid w:val="00512CA7"/>
    <w:rsid w:val="00513011"/>
    <w:rsid w:val="00513642"/>
    <w:rsid w:val="00517C98"/>
    <w:rsid w:val="00521B5D"/>
    <w:rsid w:val="00521E01"/>
    <w:rsid w:val="00527128"/>
    <w:rsid w:val="00527D6E"/>
    <w:rsid w:val="005303CB"/>
    <w:rsid w:val="00534300"/>
    <w:rsid w:val="00534DA0"/>
    <w:rsid w:val="00535E22"/>
    <w:rsid w:val="005362D5"/>
    <w:rsid w:val="00541BC2"/>
    <w:rsid w:val="00543E6C"/>
    <w:rsid w:val="00545BD9"/>
    <w:rsid w:val="00557C83"/>
    <w:rsid w:val="00565087"/>
    <w:rsid w:val="0056573F"/>
    <w:rsid w:val="0056638C"/>
    <w:rsid w:val="00570FDE"/>
    <w:rsid w:val="00577A99"/>
    <w:rsid w:val="005841A9"/>
    <w:rsid w:val="0059143D"/>
    <w:rsid w:val="00591FF8"/>
    <w:rsid w:val="00595559"/>
    <w:rsid w:val="005A2265"/>
    <w:rsid w:val="005A7CDD"/>
    <w:rsid w:val="005B6FC5"/>
    <w:rsid w:val="005E43F5"/>
    <w:rsid w:val="005E5DC6"/>
    <w:rsid w:val="005F127F"/>
    <w:rsid w:val="005F3B2A"/>
    <w:rsid w:val="005F48D4"/>
    <w:rsid w:val="00604CCC"/>
    <w:rsid w:val="0060616C"/>
    <w:rsid w:val="00606696"/>
    <w:rsid w:val="0060683E"/>
    <w:rsid w:val="00607FA2"/>
    <w:rsid w:val="00611566"/>
    <w:rsid w:val="00612987"/>
    <w:rsid w:val="006150A0"/>
    <w:rsid w:val="00622DC4"/>
    <w:rsid w:val="00624144"/>
    <w:rsid w:val="00631DB5"/>
    <w:rsid w:val="00632ACB"/>
    <w:rsid w:val="00634706"/>
    <w:rsid w:val="00634F25"/>
    <w:rsid w:val="006404B1"/>
    <w:rsid w:val="006404D5"/>
    <w:rsid w:val="00642B9D"/>
    <w:rsid w:val="00646D99"/>
    <w:rsid w:val="006520A1"/>
    <w:rsid w:val="00656910"/>
    <w:rsid w:val="006577FB"/>
    <w:rsid w:val="006649EC"/>
    <w:rsid w:val="00664FEB"/>
    <w:rsid w:val="006728CE"/>
    <w:rsid w:val="00680135"/>
    <w:rsid w:val="006831CA"/>
    <w:rsid w:val="006877B6"/>
    <w:rsid w:val="00687B05"/>
    <w:rsid w:val="0069055A"/>
    <w:rsid w:val="006942DC"/>
    <w:rsid w:val="00696DFD"/>
    <w:rsid w:val="006A3AAC"/>
    <w:rsid w:val="006A5282"/>
    <w:rsid w:val="006B376D"/>
    <w:rsid w:val="006B3F85"/>
    <w:rsid w:val="006C1C1D"/>
    <w:rsid w:val="006C3929"/>
    <w:rsid w:val="006C5781"/>
    <w:rsid w:val="006C66D8"/>
    <w:rsid w:val="006D0B63"/>
    <w:rsid w:val="006D1E24"/>
    <w:rsid w:val="006D3E01"/>
    <w:rsid w:val="006D41FA"/>
    <w:rsid w:val="006D5076"/>
    <w:rsid w:val="006E1417"/>
    <w:rsid w:val="006E24F9"/>
    <w:rsid w:val="006E6B13"/>
    <w:rsid w:val="006F6A2C"/>
    <w:rsid w:val="00703EDA"/>
    <w:rsid w:val="00710201"/>
    <w:rsid w:val="00711096"/>
    <w:rsid w:val="0071205A"/>
    <w:rsid w:val="00713939"/>
    <w:rsid w:val="00727847"/>
    <w:rsid w:val="007342B5"/>
    <w:rsid w:val="00734A5B"/>
    <w:rsid w:val="0074106D"/>
    <w:rsid w:val="00744A25"/>
    <w:rsid w:val="00744E76"/>
    <w:rsid w:val="00746CBB"/>
    <w:rsid w:val="00754670"/>
    <w:rsid w:val="00756B0A"/>
    <w:rsid w:val="00757385"/>
    <w:rsid w:val="00757857"/>
    <w:rsid w:val="00757B1C"/>
    <w:rsid w:val="00757D40"/>
    <w:rsid w:val="007604F8"/>
    <w:rsid w:val="00760503"/>
    <w:rsid w:val="007608FC"/>
    <w:rsid w:val="00760BC8"/>
    <w:rsid w:val="00762E86"/>
    <w:rsid w:val="00763C95"/>
    <w:rsid w:val="007669BF"/>
    <w:rsid w:val="007737D6"/>
    <w:rsid w:val="00774796"/>
    <w:rsid w:val="00775936"/>
    <w:rsid w:val="00776DD5"/>
    <w:rsid w:val="00780E18"/>
    <w:rsid w:val="00781F0F"/>
    <w:rsid w:val="0078727C"/>
    <w:rsid w:val="0079049D"/>
    <w:rsid w:val="00791F23"/>
    <w:rsid w:val="00793749"/>
    <w:rsid w:val="00793DC5"/>
    <w:rsid w:val="007A76B3"/>
    <w:rsid w:val="007A773E"/>
    <w:rsid w:val="007B0BD7"/>
    <w:rsid w:val="007B18D8"/>
    <w:rsid w:val="007C095F"/>
    <w:rsid w:val="007C0E00"/>
    <w:rsid w:val="007C206C"/>
    <w:rsid w:val="007C26C6"/>
    <w:rsid w:val="007C2DD0"/>
    <w:rsid w:val="007C370E"/>
    <w:rsid w:val="007C5CA9"/>
    <w:rsid w:val="007C7250"/>
    <w:rsid w:val="007D1649"/>
    <w:rsid w:val="007D5A3A"/>
    <w:rsid w:val="007E3E29"/>
    <w:rsid w:val="007E7057"/>
    <w:rsid w:val="007F6CB6"/>
    <w:rsid w:val="00800D2C"/>
    <w:rsid w:val="00801F7D"/>
    <w:rsid w:val="008028A4"/>
    <w:rsid w:val="008050E0"/>
    <w:rsid w:val="00806655"/>
    <w:rsid w:val="00812DC4"/>
    <w:rsid w:val="00813245"/>
    <w:rsid w:val="0081615D"/>
    <w:rsid w:val="00816A8C"/>
    <w:rsid w:val="008171E6"/>
    <w:rsid w:val="00821F66"/>
    <w:rsid w:val="00826B42"/>
    <w:rsid w:val="008307EB"/>
    <w:rsid w:val="0083340C"/>
    <w:rsid w:val="00834329"/>
    <w:rsid w:val="00836E97"/>
    <w:rsid w:val="00840DF3"/>
    <w:rsid w:val="00841E8B"/>
    <w:rsid w:val="0084483F"/>
    <w:rsid w:val="00844AF2"/>
    <w:rsid w:val="00846FAE"/>
    <w:rsid w:val="008641C2"/>
    <w:rsid w:val="00864918"/>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95FCE"/>
    <w:rsid w:val="008A1B05"/>
    <w:rsid w:val="008B3C0F"/>
    <w:rsid w:val="008B3CC9"/>
    <w:rsid w:val="008B5306"/>
    <w:rsid w:val="008C1A86"/>
    <w:rsid w:val="008C3CEF"/>
    <w:rsid w:val="008C74B1"/>
    <w:rsid w:val="008D0F21"/>
    <w:rsid w:val="008D1BEC"/>
    <w:rsid w:val="008D29CC"/>
    <w:rsid w:val="008D2E4D"/>
    <w:rsid w:val="008D368F"/>
    <w:rsid w:val="008D3E4A"/>
    <w:rsid w:val="008D446F"/>
    <w:rsid w:val="008E00FF"/>
    <w:rsid w:val="008E41D4"/>
    <w:rsid w:val="008F0460"/>
    <w:rsid w:val="008F1893"/>
    <w:rsid w:val="008F396F"/>
    <w:rsid w:val="008F3CDB"/>
    <w:rsid w:val="008F5FBA"/>
    <w:rsid w:val="0090271F"/>
    <w:rsid w:val="00902DB9"/>
    <w:rsid w:val="0090466A"/>
    <w:rsid w:val="00911238"/>
    <w:rsid w:val="009125EC"/>
    <w:rsid w:val="00912F37"/>
    <w:rsid w:val="00913185"/>
    <w:rsid w:val="00916508"/>
    <w:rsid w:val="009178EF"/>
    <w:rsid w:val="009344F5"/>
    <w:rsid w:val="00934EB9"/>
    <w:rsid w:val="00934FC0"/>
    <w:rsid w:val="00936071"/>
    <w:rsid w:val="0093685D"/>
    <w:rsid w:val="009375C5"/>
    <w:rsid w:val="00940212"/>
    <w:rsid w:val="009417B8"/>
    <w:rsid w:val="00942EC2"/>
    <w:rsid w:val="009439B2"/>
    <w:rsid w:val="00944967"/>
    <w:rsid w:val="00946EE3"/>
    <w:rsid w:val="0095157A"/>
    <w:rsid w:val="00952E67"/>
    <w:rsid w:val="00954AF8"/>
    <w:rsid w:val="00961B32"/>
    <w:rsid w:val="00963130"/>
    <w:rsid w:val="00965C3F"/>
    <w:rsid w:val="00966691"/>
    <w:rsid w:val="00966DEB"/>
    <w:rsid w:val="00970DB3"/>
    <w:rsid w:val="00974BB0"/>
    <w:rsid w:val="009765D0"/>
    <w:rsid w:val="0097674C"/>
    <w:rsid w:val="00981C9C"/>
    <w:rsid w:val="00982CDF"/>
    <w:rsid w:val="00984462"/>
    <w:rsid w:val="00984843"/>
    <w:rsid w:val="00984F6F"/>
    <w:rsid w:val="00986AC6"/>
    <w:rsid w:val="00995B2D"/>
    <w:rsid w:val="009A0AF3"/>
    <w:rsid w:val="009A4FB7"/>
    <w:rsid w:val="009B07CD"/>
    <w:rsid w:val="009B2D7B"/>
    <w:rsid w:val="009B337E"/>
    <w:rsid w:val="009B3884"/>
    <w:rsid w:val="009B499E"/>
    <w:rsid w:val="009B7011"/>
    <w:rsid w:val="009C19E9"/>
    <w:rsid w:val="009C2476"/>
    <w:rsid w:val="009C3546"/>
    <w:rsid w:val="009D2097"/>
    <w:rsid w:val="009D41FB"/>
    <w:rsid w:val="009D600B"/>
    <w:rsid w:val="009D74A6"/>
    <w:rsid w:val="009E0339"/>
    <w:rsid w:val="009E337F"/>
    <w:rsid w:val="009F18B0"/>
    <w:rsid w:val="009F28C8"/>
    <w:rsid w:val="00A01C98"/>
    <w:rsid w:val="00A10F02"/>
    <w:rsid w:val="00A1115F"/>
    <w:rsid w:val="00A151C0"/>
    <w:rsid w:val="00A204CA"/>
    <w:rsid w:val="00A235EB"/>
    <w:rsid w:val="00A2423B"/>
    <w:rsid w:val="00A26B05"/>
    <w:rsid w:val="00A31E01"/>
    <w:rsid w:val="00A40340"/>
    <w:rsid w:val="00A47F8C"/>
    <w:rsid w:val="00A503D3"/>
    <w:rsid w:val="00A53724"/>
    <w:rsid w:val="00A554E7"/>
    <w:rsid w:val="00A5665B"/>
    <w:rsid w:val="00A568AE"/>
    <w:rsid w:val="00A613BA"/>
    <w:rsid w:val="00A6488F"/>
    <w:rsid w:val="00A67ABC"/>
    <w:rsid w:val="00A7114B"/>
    <w:rsid w:val="00A71903"/>
    <w:rsid w:val="00A73AC5"/>
    <w:rsid w:val="00A82082"/>
    <w:rsid w:val="00A82346"/>
    <w:rsid w:val="00A84E0E"/>
    <w:rsid w:val="00A87621"/>
    <w:rsid w:val="00A90DA4"/>
    <w:rsid w:val="00A9240E"/>
    <w:rsid w:val="00A94EB8"/>
    <w:rsid w:val="00A9671C"/>
    <w:rsid w:val="00AA1553"/>
    <w:rsid w:val="00AA2C76"/>
    <w:rsid w:val="00AA6373"/>
    <w:rsid w:val="00AB496F"/>
    <w:rsid w:val="00AB7714"/>
    <w:rsid w:val="00AC3917"/>
    <w:rsid w:val="00AD5F89"/>
    <w:rsid w:val="00AD758C"/>
    <w:rsid w:val="00AD793D"/>
    <w:rsid w:val="00AE2112"/>
    <w:rsid w:val="00AF1675"/>
    <w:rsid w:val="00AF199D"/>
    <w:rsid w:val="00AF58BC"/>
    <w:rsid w:val="00AF5CC7"/>
    <w:rsid w:val="00B00B26"/>
    <w:rsid w:val="00B05962"/>
    <w:rsid w:val="00B15449"/>
    <w:rsid w:val="00B15949"/>
    <w:rsid w:val="00B216A7"/>
    <w:rsid w:val="00B216E1"/>
    <w:rsid w:val="00B26CA9"/>
    <w:rsid w:val="00B27303"/>
    <w:rsid w:val="00B34629"/>
    <w:rsid w:val="00B40CB4"/>
    <w:rsid w:val="00B44DD2"/>
    <w:rsid w:val="00B4646F"/>
    <w:rsid w:val="00B4753E"/>
    <w:rsid w:val="00B47FD1"/>
    <w:rsid w:val="00B516BB"/>
    <w:rsid w:val="00B5287C"/>
    <w:rsid w:val="00B54FCB"/>
    <w:rsid w:val="00B568FD"/>
    <w:rsid w:val="00B6026F"/>
    <w:rsid w:val="00B706CD"/>
    <w:rsid w:val="00B70A1D"/>
    <w:rsid w:val="00B76AB1"/>
    <w:rsid w:val="00B840DA"/>
    <w:rsid w:val="00B873DA"/>
    <w:rsid w:val="00B91A33"/>
    <w:rsid w:val="00B947C0"/>
    <w:rsid w:val="00B95523"/>
    <w:rsid w:val="00BA0C61"/>
    <w:rsid w:val="00BA3A5D"/>
    <w:rsid w:val="00BA47C1"/>
    <w:rsid w:val="00BA5CE1"/>
    <w:rsid w:val="00BB0B22"/>
    <w:rsid w:val="00BB44AD"/>
    <w:rsid w:val="00BB4E4B"/>
    <w:rsid w:val="00BB73A9"/>
    <w:rsid w:val="00BC3555"/>
    <w:rsid w:val="00BC4D38"/>
    <w:rsid w:val="00BD398E"/>
    <w:rsid w:val="00BD4E86"/>
    <w:rsid w:val="00BD5F72"/>
    <w:rsid w:val="00BE031B"/>
    <w:rsid w:val="00BF2586"/>
    <w:rsid w:val="00BF629E"/>
    <w:rsid w:val="00BF6596"/>
    <w:rsid w:val="00C04CD9"/>
    <w:rsid w:val="00C05E54"/>
    <w:rsid w:val="00C10D49"/>
    <w:rsid w:val="00C12B51"/>
    <w:rsid w:val="00C132A5"/>
    <w:rsid w:val="00C1497E"/>
    <w:rsid w:val="00C2453E"/>
    <w:rsid w:val="00C24650"/>
    <w:rsid w:val="00C27634"/>
    <w:rsid w:val="00C32400"/>
    <w:rsid w:val="00C33079"/>
    <w:rsid w:val="00C333F1"/>
    <w:rsid w:val="00C34CC6"/>
    <w:rsid w:val="00C3548B"/>
    <w:rsid w:val="00C418B7"/>
    <w:rsid w:val="00C41AFF"/>
    <w:rsid w:val="00C46A94"/>
    <w:rsid w:val="00C52334"/>
    <w:rsid w:val="00C5370D"/>
    <w:rsid w:val="00C55079"/>
    <w:rsid w:val="00C709B6"/>
    <w:rsid w:val="00C71BAC"/>
    <w:rsid w:val="00C7345E"/>
    <w:rsid w:val="00C74186"/>
    <w:rsid w:val="00C74537"/>
    <w:rsid w:val="00C826CF"/>
    <w:rsid w:val="00C83A13"/>
    <w:rsid w:val="00C864F5"/>
    <w:rsid w:val="00C9068C"/>
    <w:rsid w:val="00C91034"/>
    <w:rsid w:val="00C92967"/>
    <w:rsid w:val="00C9650D"/>
    <w:rsid w:val="00CA3D0C"/>
    <w:rsid w:val="00CA484F"/>
    <w:rsid w:val="00CA58D2"/>
    <w:rsid w:val="00CA654B"/>
    <w:rsid w:val="00CA7962"/>
    <w:rsid w:val="00CB581C"/>
    <w:rsid w:val="00CB6A74"/>
    <w:rsid w:val="00CB6F5B"/>
    <w:rsid w:val="00CC694B"/>
    <w:rsid w:val="00CD4C7B"/>
    <w:rsid w:val="00CD4DFB"/>
    <w:rsid w:val="00CD5795"/>
    <w:rsid w:val="00CD6712"/>
    <w:rsid w:val="00CD7707"/>
    <w:rsid w:val="00CE1681"/>
    <w:rsid w:val="00CE2100"/>
    <w:rsid w:val="00CE29EF"/>
    <w:rsid w:val="00CE5D7F"/>
    <w:rsid w:val="00CE6889"/>
    <w:rsid w:val="00CE7ABA"/>
    <w:rsid w:val="00CF3640"/>
    <w:rsid w:val="00CF5B1F"/>
    <w:rsid w:val="00CF5E6B"/>
    <w:rsid w:val="00D02942"/>
    <w:rsid w:val="00D05935"/>
    <w:rsid w:val="00D10CAD"/>
    <w:rsid w:val="00D145BC"/>
    <w:rsid w:val="00D1632C"/>
    <w:rsid w:val="00D26182"/>
    <w:rsid w:val="00D261DA"/>
    <w:rsid w:val="00D3050D"/>
    <w:rsid w:val="00D31234"/>
    <w:rsid w:val="00D32476"/>
    <w:rsid w:val="00D33BE3"/>
    <w:rsid w:val="00D36096"/>
    <w:rsid w:val="00D3792D"/>
    <w:rsid w:val="00D37F6C"/>
    <w:rsid w:val="00D40C2E"/>
    <w:rsid w:val="00D41C0B"/>
    <w:rsid w:val="00D43A23"/>
    <w:rsid w:val="00D45B15"/>
    <w:rsid w:val="00D4691D"/>
    <w:rsid w:val="00D47E35"/>
    <w:rsid w:val="00D504CD"/>
    <w:rsid w:val="00D5113A"/>
    <w:rsid w:val="00D53BDA"/>
    <w:rsid w:val="00D55E47"/>
    <w:rsid w:val="00D57DAC"/>
    <w:rsid w:val="00D6053F"/>
    <w:rsid w:val="00D6075D"/>
    <w:rsid w:val="00D609A0"/>
    <w:rsid w:val="00D60FCC"/>
    <w:rsid w:val="00D62E19"/>
    <w:rsid w:val="00D62F8A"/>
    <w:rsid w:val="00D666B2"/>
    <w:rsid w:val="00D67CD1"/>
    <w:rsid w:val="00D738D6"/>
    <w:rsid w:val="00D76920"/>
    <w:rsid w:val="00D80795"/>
    <w:rsid w:val="00D82F3F"/>
    <w:rsid w:val="00D854BE"/>
    <w:rsid w:val="00D87E00"/>
    <w:rsid w:val="00D90DD0"/>
    <w:rsid w:val="00D9134D"/>
    <w:rsid w:val="00D9403B"/>
    <w:rsid w:val="00D94386"/>
    <w:rsid w:val="00D96D11"/>
    <w:rsid w:val="00DA3D66"/>
    <w:rsid w:val="00DA48EA"/>
    <w:rsid w:val="00DA5157"/>
    <w:rsid w:val="00DA5F0A"/>
    <w:rsid w:val="00DA7A03"/>
    <w:rsid w:val="00DB0427"/>
    <w:rsid w:val="00DB0DB8"/>
    <w:rsid w:val="00DB1818"/>
    <w:rsid w:val="00DB42E7"/>
    <w:rsid w:val="00DC04F9"/>
    <w:rsid w:val="00DC08C5"/>
    <w:rsid w:val="00DC309B"/>
    <w:rsid w:val="00DC4DA2"/>
    <w:rsid w:val="00DC55D9"/>
    <w:rsid w:val="00DD3638"/>
    <w:rsid w:val="00DD44C5"/>
    <w:rsid w:val="00DE2EDA"/>
    <w:rsid w:val="00DE321C"/>
    <w:rsid w:val="00DE664A"/>
    <w:rsid w:val="00DF08BC"/>
    <w:rsid w:val="00DF3511"/>
    <w:rsid w:val="00DF4378"/>
    <w:rsid w:val="00DF69B8"/>
    <w:rsid w:val="00E07D0B"/>
    <w:rsid w:val="00E114CF"/>
    <w:rsid w:val="00E11A41"/>
    <w:rsid w:val="00E12597"/>
    <w:rsid w:val="00E14F1B"/>
    <w:rsid w:val="00E178EE"/>
    <w:rsid w:val="00E17E56"/>
    <w:rsid w:val="00E2155D"/>
    <w:rsid w:val="00E36531"/>
    <w:rsid w:val="00E428AC"/>
    <w:rsid w:val="00E429B9"/>
    <w:rsid w:val="00E44041"/>
    <w:rsid w:val="00E45918"/>
    <w:rsid w:val="00E46E90"/>
    <w:rsid w:val="00E471CF"/>
    <w:rsid w:val="00E50B8A"/>
    <w:rsid w:val="00E53CA3"/>
    <w:rsid w:val="00E54510"/>
    <w:rsid w:val="00E62835"/>
    <w:rsid w:val="00E70886"/>
    <w:rsid w:val="00E77645"/>
    <w:rsid w:val="00E818D8"/>
    <w:rsid w:val="00E82E1E"/>
    <w:rsid w:val="00E83697"/>
    <w:rsid w:val="00E97623"/>
    <w:rsid w:val="00EA1721"/>
    <w:rsid w:val="00EA1FA4"/>
    <w:rsid w:val="00EA3AB0"/>
    <w:rsid w:val="00EB0AF6"/>
    <w:rsid w:val="00EB4383"/>
    <w:rsid w:val="00EB4DD7"/>
    <w:rsid w:val="00EB7AA7"/>
    <w:rsid w:val="00EC1527"/>
    <w:rsid w:val="00EC404A"/>
    <w:rsid w:val="00EC4A25"/>
    <w:rsid w:val="00EC54E3"/>
    <w:rsid w:val="00ED1E19"/>
    <w:rsid w:val="00ED45BC"/>
    <w:rsid w:val="00ED6037"/>
    <w:rsid w:val="00EE1B61"/>
    <w:rsid w:val="00EE5772"/>
    <w:rsid w:val="00EF2481"/>
    <w:rsid w:val="00EF31F5"/>
    <w:rsid w:val="00EF65E9"/>
    <w:rsid w:val="00F025A2"/>
    <w:rsid w:val="00F03B62"/>
    <w:rsid w:val="00F04CF5"/>
    <w:rsid w:val="00F0501F"/>
    <w:rsid w:val="00F07388"/>
    <w:rsid w:val="00F07B11"/>
    <w:rsid w:val="00F07E60"/>
    <w:rsid w:val="00F10B28"/>
    <w:rsid w:val="00F10BBB"/>
    <w:rsid w:val="00F13B63"/>
    <w:rsid w:val="00F2026E"/>
    <w:rsid w:val="00F2210A"/>
    <w:rsid w:val="00F23F84"/>
    <w:rsid w:val="00F258E8"/>
    <w:rsid w:val="00F25CB5"/>
    <w:rsid w:val="00F34BBB"/>
    <w:rsid w:val="00F37743"/>
    <w:rsid w:val="00F41B4E"/>
    <w:rsid w:val="00F4250A"/>
    <w:rsid w:val="00F44AFE"/>
    <w:rsid w:val="00F50CF2"/>
    <w:rsid w:val="00F5196E"/>
    <w:rsid w:val="00F521E9"/>
    <w:rsid w:val="00F535E2"/>
    <w:rsid w:val="00F5422B"/>
    <w:rsid w:val="00F54A3D"/>
    <w:rsid w:val="00F54CB0"/>
    <w:rsid w:val="00F56CA9"/>
    <w:rsid w:val="00F60A09"/>
    <w:rsid w:val="00F653B8"/>
    <w:rsid w:val="00F71B89"/>
    <w:rsid w:val="00F71D1E"/>
    <w:rsid w:val="00F7353C"/>
    <w:rsid w:val="00F75C81"/>
    <w:rsid w:val="00F76F8F"/>
    <w:rsid w:val="00F81E36"/>
    <w:rsid w:val="00F85AE7"/>
    <w:rsid w:val="00F9324A"/>
    <w:rsid w:val="00F941DF"/>
    <w:rsid w:val="00F94234"/>
    <w:rsid w:val="00FA1266"/>
    <w:rsid w:val="00FA4BCA"/>
    <w:rsid w:val="00FB0ECE"/>
    <w:rsid w:val="00FB10D6"/>
    <w:rsid w:val="00FB36FA"/>
    <w:rsid w:val="00FB669D"/>
    <w:rsid w:val="00FB6874"/>
    <w:rsid w:val="00FB6AE2"/>
    <w:rsid w:val="00FC1192"/>
    <w:rsid w:val="00FC5DFE"/>
    <w:rsid w:val="00FC640D"/>
    <w:rsid w:val="00FC75FD"/>
    <w:rsid w:val="00FC797C"/>
    <w:rsid w:val="00FD43CC"/>
    <w:rsid w:val="00FD7243"/>
    <w:rsid w:val="00FE251B"/>
    <w:rsid w:val="00FE4EAC"/>
    <w:rsid w:val="00FE65FC"/>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paragraph" w:styleId="ListParagraph">
    <w:name w:val="List Paragraph"/>
    <w:basedOn w:val="Normal"/>
    <w:uiPriority w:val="34"/>
    <w:qFormat/>
    <w:rsid w:val="00535E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73088751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5AIRPNAIUNRU-859666464-4917</_dlc_DocId>
    <_dlc_DocIdUrl xmlns="71c5aaf6-e6ce-465b-b873-5148d2a4c105">
      <Url>https://nokia.sharepoint.com/sites/c5g/e2earch/_layouts/15/DocIdRedir.aspx?ID=5AIRPNAIUNRU-859666464-4917</Url>
      <Description>5AIRPNAIUNRU-859666464-4917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83f22d2f-d16e-4be6-ad4f-29fa0b067c3c"/>
    <ds:schemaRef ds:uri="a3840f4f-04be-43d1-b2ef-6ff1382503c7"/>
    <ds:schemaRef ds:uri="3b34c8f0-1ef5-4d1e-bb66-517ce7fe7356"/>
    <ds:schemaRef ds:uri="http://www.w3.org/XML/1998/namespac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BA23CF3A-80E5-4675-9AFC-65EE75C7D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859</TotalTime>
  <Pages>4</Pages>
  <Words>1862</Words>
  <Characters>10010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Hailu, Sofonias 1. (EXT - FI/Espoo)</dc:creator>
  <cp:keywords/>
  <cp:lastModifiedBy>Nokia</cp:lastModifiedBy>
  <cp:revision>10</cp:revision>
  <dcterms:created xsi:type="dcterms:W3CDTF">2019-03-26T21:48:00Z</dcterms:created>
  <dcterms:modified xsi:type="dcterms:W3CDTF">2019-03-28T15:46:00Z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825d4e23-e877-4ee5-86ce-fe38e7d4e3c9</vt:lpwstr>
  </property>
  <property fmtid="{D5CDD505-2E9C-101B-9397-08002B2CF9AE}" pid="4" name="AuthorIds_UIVersion_1024">
    <vt:lpwstr>723</vt:lpwstr>
  </property>
</Properties>
</file>